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570" w:lineRule="exact"/>
        <w:rPr>
          <w:rFonts w:ascii="黑体" w:hAnsi="黑体" w:eastAsia="黑体" w:cs="仿宋"/>
          <w:color w:val="000000"/>
          <w:spacing w:val="-1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pacing w:val="-1"/>
          <w:sz w:val="32"/>
          <w:szCs w:val="32"/>
        </w:rPr>
        <w:t>附件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  <w:t>第二轮自治区自治区生态环境保护督察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  <w:t>第1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  <w:t>项整改任务完成情况表</w:t>
      </w:r>
    </w:p>
    <w:p>
      <w:pPr>
        <w:spacing w:line="570" w:lineRule="exact"/>
        <w:ind w:left="1280" w:hanging="1280" w:hangingChars="400"/>
        <w:jc w:val="left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和林格尔县人民政府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2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widowControl/>
              <w:spacing w:beforeAutospacing="0" w:afterAutospacing="0" w:line="57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整改任务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价调控政策落实不到位。自治区印发《关于建立健全内蒙古自治区城镇非居民用水超定额（计划）累进加价制度的通知》，要求全面推行非居民用水超定额（计划）累进加价制度，呼和浩特市配套印发了《呼和浩特市非居民超量加价水费征收和使用管理办法》但水价调控政策尚未发挥有效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widowControl/>
              <w:spacing w:beforeAutospacing="0" w:afterAutospacing="0" w:line="57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责任单位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和林格尔县党委和政府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widowControl/>
              <w:spacing w:beforeAutospacing="0" w:afterAutospacing="0" w:line="57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整改目标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全面落实水价调控政策，推行非居民用水超定额（计划）累进加价制度，实现有效节水。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6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widowControl/>
              <w:spacing w:beforeAutospacing="0" w:afterAutospacing="0"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整改措施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1、按照市级制定的加价标准制度，做好分档水量划分。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2、制定和实施非居民用水管理目录，组织征收超定额（计划）累进加价。做好计费周期、加价收入资金使用监管。做好年用水量在2000立方米以上的非居民计划用水核定工作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3、供水企业严格按照《呼和浩特市非居民超量加价水费征收和使用管理办法》对超计划部分加价征收水费。修订行业用水定额，制定（计划）用水的核定和超定额（计划）用水企业名单公布。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widowControl/>
              <w:spacing w:beforeAutospacing="0" w:afterAutospacing="0" w:line="57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县发改委明确加价标准及分档水量划分。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已将累进加价制度文件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即《关于进一步完善呼和浩特市城镇非居民用水超定额（计划）累进加价制度的通知》和发改价字〔2023〕305号）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下发至非居民用水供水单位（盛乐供排水、丰华自来水），要求供水企业严格落实加价制度，根据分档水量划分标准，对超定额（计划）取水单位征收加价水费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县水务局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积极开展水量核定工作。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制定和实施非居民用水管理目录，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核定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水量在2000立方米以上的非居民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用户102户。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非居民重点用水户已全部安装在线计量设施，并按季度进行核量，同时根据核量情况每季度填报一次用水直报系统，对其他年用水量2000立方米以上的非居民用水户均安装了机械水表等计量设施，并安排专人按季度核定取水量，按年度填报系统，确保非居民用水年度水量核定工作顺利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经核查，2024年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无超定额的非居民用水企业；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配合水利厅开展行业用水定额修订工作，已上报我县相关资料。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县住建局严格监督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盛乐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环境投资有限公司和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丰华自来水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有限责任公司两家供水企业按照水务局核定水量收取水费；已公示年取水量超2000立方米以上非居民用水户名单。</w:t>
            </w:r>
          </w:p>
        </w:tc>
      </w:tr>
    </w:tbl>
    <w:p>
      <w:pPr>
        <w:spacing w:line="570" w:lineRule="exact"/>
        <w:rPr>
          <w:rFonts w:ascii="方正仿宋_GB2312" w:hAnsi="方正仿宋_GB2312" w:eastAsia="方正仿宋_GB2312" w:cs="方正仿宋_GB2312"/>
          <w:color w:val="000000"/>
          <w:spacing w:val="-35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60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7965" cy="1333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874" cy="13305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0.5pt;width:17.9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hrsIbXAAAAAwEAAA8AAABkcnMvZG93bnJldi54bWxNj8FOwzAQRO9I/IO1&#10;SFyq1k4QVQlxemgFSIgeGiokbm68jaPG6xC7SeHrMVzgstJoRjNv8+XZtmzA3jeOJCQzAQypcrqh&#10;WsLu9WG6AOaDIq1aRyjhEz0si8uLXGXajbTFoQw1iyXkMyXBhNBlnPvKoFV+5jqk6B1cb1WIsq+5&#10;7tUYy23LUyHm3KqG4oJRHa4MVsfyZCW8rB/f3ybmWaSbr8nBjeVu+Hg6Snl9lYh7YAHP4S8MP/gR&#10;HYrItHcn0p61EuIj4fdG7+b2DtheQpoI4EXO/7MX31BLAwQUAAAACACHTuJA1t7Uy+4BAACuAwAA&#10;DgAAAGRycy9lMm9Eb2MueG1srVNLbtswEN0X6B0I7mvJcvOBYDkoaqQoULQB0h6ApkiLAH/g0Jbc&#10;A7Q36Kqb7nsunyNDSnaCZFd0Q82Iozfz3jwtbwajyV4EUM42dD4rKRGWu1bZbUO/fb19c00JRGZb&#10;pp0VDT0IoDer16+Wva9F5TqnWxEIglioe9/QLkZfFwXwThgGM+eFxUvpgmER07At2sB6RDe6qMry&#10;suhdaH1wXADg2/V4SVcZX0rB4xcpQUSiG4qzxXyGfG7SWayWrN4G5jvFpzHYP0xhmLLY9Ay1ZpGR&#10;XVAvoIziwYGTccadKZyUiovMAdnMy2ds7jvmReaC4oA/ywT/D5Z/3t8FotqGVpRYZnBFx18/j7//&#10;Hv/8IFWSp/dQY9W9vwtTBhgmroMMJj2RBRmypIezpGKIhOPLqrq6vnpLCcer+WJRXmTM4vFjHyB+&#10;EM6QFDQ04MaykGz/CSI2xNJTSepl3a3SOm9NW9I39HJxgXvlDL0jNYsYGo9swG4zzJP6BLNm0JE9&#10;QzOA06od1x/czrZjK22xY2I8ckxRHDbDRHzj2gOqhXbHSTsXvlPSo3UaatHblOiPFjeTXHYKwinY&#10;nAJmOX7YUBx0DN9HzCTTgAA7H9S2Q+wxT3zBv9tF5JylSOOMM0xToimyQpOBk+ue5rnq8TdbP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Ya7CG1wAAAAMBAAAPAAAAAAAAAAEAIAAAADgAAABkcnMv&#10;ZG93bnJldi54bWxQSwECFAAUAAAACACHTuJA1t7Uy+4BAACuAwAADgAAAAAAAAABACAAAAA8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6F4575D"/>
    <w:rsid w:val="2BEA215C"/>
    <w:rsid w:val="6EFF9410"/>
    <w:rsid w:val="FFF35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6">
    <w:name w:val="Body Text"/>
    <w:basedOn w:val="1"/>
    <w:qFormat/>
    <w:uiPriority w:val="0"/>
    <w:rPr>
      <w:rFonts w:ascii="Arial" w:hAnsi="Arial" w:eastAsia="Arial" w:cs="Arial"/>
      <w:szCs w:val="21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character" w:styleId="16">
    <w:name w:val="Emphasis"/>
    <w:basedOn w:val="15"/>
    <w:qFormat/>
    <w:uiPriority w:val="0"/>
    <w:rPr>
      <w:i/>
    </w:rPr>
  </w:style>
  <w:style w:type="character" w:customStyle="1" w:styleId="17">
    <w:name w:val="heading 1 Char"/>
    <w:basedOn w:val="15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3"/>
    <w:qFormat/>
    <w:uiPriority w:val="0"/>
    <w:rPr>
      <w:rFonts w:ascii="文泉驿微米黑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5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true"/>
        </a:gradFill>
        <a:gradFill rotWithShape="true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true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true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1800</Words>
  <Characters>1893</Characters>
  <Lines>0</Lines>
  <Paragraphs>109</Paragraphs>
  <TotalTime>1</TotalTime>
  <ScaleCrop>false</ScaleCrop>
  <LinksUpToDate>false</LinksUpToDate>
  <CharactersWithSpaces>2495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2024-12-06T03:39:00Z</dcterms:created>
  <dc:creator>WPS_4617812</dc:creator>
  <cp:lastModifiedBy>张茜</cp:lastModifiedBy>
  <dcterms:modified xsi:type="dcterms:W3CDTF">2025-05-21T16:51:49Z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A293BE6E685473F7B8502C682BC72D8F</vt:lpwstr>
  </property>
  <property fmtid="{D5CDD505-2E9C-101B-9397-08002B2CF9AE}" pid="4" name="KSOTemplateDocerSaveRecord">
    <vt:lpwstr>eyJoZGlkIjoiYTVlYTBhZmE4MjQxNmI4NTliYWZhMjc1MDk0MzU0NTgiLCJ1c2VySWQiOiI0ODQzMjI2MTUifQ==</vt:lpwstr>
  </property>
</Properties>
</file>