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490"/>
          <w:tab w:val="center" w:pos="4156"/>
        </w:tabs>
        <w:jc w:val="center"/>
        <w:rPr>
          <w:rFonts w:hint="default" w:eastAsia="仿宋_GB2312"/>
          <w:b/>
          <w:color w:val="auto"/>
          <w:sz w:val="52"/>
          <w:szCs w:val="52"/>
          <w:highlight w:val="none"/>
          <w:lang w:val="en-US" w:eastAsia="zh-CN"/>
        </w:rPr>
      </w:pPr>
    </w:p>
    <w:p>
      <w:pPr>
        <w:spacing w:before="20" w:line="572" w:lineRule="exact"/>
        <w:ind w:left="432" w:right="414"/>
        <w:jc w:val="center"/>
        <w:rPr>
          <w:rFonts w:eastAsia="仿宋_GB2312"/>
          <w:b/>
          <w:color w:val="auto"/>
          <w:sz w:val="44"/>
          <w:szCs w:val="44"/>
          <w:highlight w:val="none"/>
        </w:rPr>
      </w:pPr>
    </w:p>
    <w:p>
      <w:pPr>
        <w:tabs>
          <w:tab w:val="left" w:pos="1490"/>
          <w:tab w:val="center" w:pos="4156"/>
        </w:tabs>
        <w:spacing w:line="360" w:lineRule="auto"/>
        <w:ind w:firstLine="441" w:firstLineChars="100"/>
        <w:jc w:val="center"/>
        <w:outlineLvl w:val="9"/>
        <w:rPr>
          <w:rFonts w:hint="default" w:eastAsia="仿宋_GB2312"/>
          <w:b/>
          <w:color w:val="auto"/>
          <w:sz w:val="44"/>
          <w:szCs w:val="44"/>
          <w:highlight w:val="none"/>
          <w:lang w:val="en-US" w:eastAsia="zh-CN"/>
        </w:rPr>
      </w:pPr>
      <w:r>
        <w:rPr>
          <w:rFonts w:hint="eastAsia" w:eastAsia="仿宋_GB2312"/>
          <w:b/>
          <w:color w:val="auto"/>
          <w:sz w:val="44"/>
          <w:szCs w:val="44"/>
          <w:highlight w:val="none"/>
          <w:lang w:val="en-US" w:eastAsia="zh-CN"/>
        </w:rPr>
        <w:t>和林格尔县2025年城乡建设用地增减挂钩巧什营镇项目区实施方案</w:t>
      </w:r>
    </w:p>
    <w:p>
      <w:pPr>
        <w:spacing w:before="20" w:line="572" w:lineRule="exact"/>
        <w:ind w:left="432" w:right="414"/>
        <w:jc w:val="center"/>
        <w:rPr>
          <w:rFonts w:eastAsia="仿宋_GB2312"/>
          <w:b/>
          <w:color w:val="auto"/>
          <w:sz w:val="44"/>
          <w:szCs w:val="44"/>
          <w:highlight w:val="none"/>
        </w:rPr>
      </w:pPr>
    </w:p>
    <w:p>
      <w:pPr>
        <w:tabs>
          <w:tab w:val="left" w:pos="1490"/>
          <w:tab w:val="center" w:pos="4156"/>
        </w:tabs>
        <w:jc w:val="center"/>
        <w:rPr>
          <w:rFonts w:eastAsia="仿宋_GB2312"/>
          <w:color w:val="auto"/>
          <w:sz w:val="48"/>
          <w:szCs w:val="48"/>
          <w:highlight w:val="none"/>
        </w:rPr>
      </w:pPr>
    </w:p>
    <w:p>
      <w:pPr>
        <w:tabs>
          <w:tab w:val="left" w:pos="1490"/>
          <w:tab w:val="center" w:pos="4156"/>
        </w:tabs>
        <w:jc w:val="center"/>
        <w:rPr>
          <w:rFonts w:eastAsia="仿宋_GB2312"/>
          <w:color w:val="auto"/>
          <w:sz w:val="48"/>
          <w:szCs w:val="48"/>
          <w:highlight w:val="none"/>
        </w:rPr>
      </w:pPr>
    </w:p>
    <w:p>
      <w:pPr>
        <w:tabs>
          <w:tab w:val="left" w:pos="1490"/>
          <w:tab w:val="center" w:pos="4156"/>
        </w:tabs>
        <w:ind w:firstLine="640"/>
        <w:jc w:val="center"/>
        <w:rPr>
          <w:rFonts w:hint="eastAsia" w:eastAsia="仿宋_GB2312"/>
          <w:color w:val="auto"/>
          <w:sz w:val="24"/>
          <w:highlight w:val="none"/>
          <w:lang w:eastAsia="zh-CN"/>
        </w:rPr>
      </w:pPr>
    </w:p>
    <w:p>
      <w:pPr>
        <w:tabs>
          <w:tab w:val="left" w:pos="1490"/>
          <w:tab w:val="center" w:pos="4156"/>
        </w:tabs>
        <w:ind w:firstLine="640"/>
        <w:jc w:val="center"/>
        <w:rPr>
          <w:rFonts w:eastAsia="仿宋_GB2312"/>
          <w:color w:val="auto"/>
          <w:sz w:val="24"/>
          <w:highlight w:val="none"/>
        </w:rPr>
      </w:pPr>
    </w:p>
    <w:p>
      <w:pPr>
        <w:tabs>
          <w:tab w:val="left" w:pos="1490"/>
          <w:tab w:val="center" w:pos="4156"/>
        </w:tabs>
        <w:ind w:firstLine="640"/>
        <w:jc w:val="center"/>
        <w:rPr>
          <w:rFonts w:eastAsia="仿宋_GB2312"/>
          <w:color w:val="auto"/>
          <w:sz w:val="24"/>
          <w:highlight w:val="none"/>
        </w:rPr>
      </w:pPr>
    </w:p>
    <w:p>
      <w:pPr>
        <w:tabs>
          <w:tab w:val="left" w:pos="1490"/>
          <w:tab w:val="center" w:pos="4156"/>
        </w:tabs>
        <w:ind w:firstLine="640"/>
        <w:jc w:val="center"/>
        <w:rPr>
          <w:rFonts w:eastAsia="仿宋_GB2312"/>
          <w:color w:val="auto"/>
          <w:sz w:val="24"/>
          <w:highlight w:val="none"/>
        </w:rPr>
      </w:pPr>
    </w:p>
    <w:p>
      <w:pPr>
        <w:tabs>
          <w:tab w:val="left" w:pos="1490"/>
          <w:tab w:val="center" w:pos="4156"/>
        </w:tabs>
        <w:ind w:firstLine="640"/>
        <w:jc w:val="center"/>
        <w:rPr>
          <w:rFonts w:eastAsia="仿宋_GB2312"/>
          <w:color w:val="auto"/>
          <w:sz w:val="24"/>
          <w:highlight w:val="none"/>
        </w:rPr>
      </w:pPr>
    </w:p>
    <w:p>
      <w:pPr>
        <w:tabs>
          <w:tab w:val="left" w:pos="1490"/>
          <w:tab w:val="center" w:pos="4156"/>
        </w:tabs>
        <w:ind w:firstLine="640"/>
        <w:jc w:val="center"/>
        <w:rPr>
          <w:rFonts w:eastAsia="仿宋_GB2312"/>
          <w:color w:val="auto"/>
          <w:sz w:val="24"/>
          <w:highlight w:val="none"/>
        </w:rPr>
      </w:pPr>
    </w:p>
    <w:p>
      <w:pPr>
        <w:tabs>
          <w:tab w:val="left" w:pos="1490"/>
          <w:tab w:val="center" w:pos="4156"/>
        </w:tabs>
        <w:ind w:firstLine="640"/>
        <w:jc w:val="center"/>
        <w:rPr>
          <w:rFonts w:eastAsia="仿宋_GB2312"/>
          <w:color w:val="auto"/>
          <w:sz w:val="24"/>
          <w:highlight w:val="none"/>
        </w:rPr>
      </w:pPr>
    </w:p>
    <w:p>
      <w:pPr>
        <w:tabs>
          <w:tab w:val="left" w:pos="1490"/>
          <w:tab w:val="center" w:pos="4156"/>
        </w:tabs>
        <w:ind w:firstLine="640"/>
        <w:jc w:val="center"/>
        <w:rPr>
          <w:rFonts w:eastAsia="仿宋_GB2312"/>
          <w:color w:val="auto"/>
          <w:sz w:val="24"/>
          <w:highlight w:val="none"/>
        </w:rPr>
      </w:pPr>
    </w:p>
    <w:p>
      <w:pPr>
        <w:tabs>
          <w:tab w:val="left" w:pos="1490"/>
          <w:tab w:val="center" w:pos="4156"/>
        </w:tabs>
        <w:ind w:firstLine="640"/>
        <w:jc w:val="center"/>
        <w:rPr>
          <w:rFonts w:eastAsia="仿宋_GB2312"/>
          <w:color w:val="auto"/>
          <w:sz w:val="24"/>
          <w:highlight w:val="none"/>
        </w:rPr>
      </w:pPr>
    </w:p>
    <w:p>
      <w:pPr>
        <w:tabs>
          <w:tab w:val="left" w:pos="1490"/>
          <w:tab w:val="center" w:pos="4156"/>
        </w:tabs>
        <w:ind w:firstLine="640"/>
        <w:jc w:val="center"/>
        <w:rPr>
          <w:rFonts w:eastAsia="仿宋_GB2312"/>
          <w:color w:val="auto"/>
          <w:sz w:val="24"/>
          <w:highlight w:val="none"/>
        </w:rPr>
      </w:pPr>
    </w:p>
    <w:p>
      <w:pPr>
        <w:tabs>
          <w:tab w:val="left" w:pos="1490"/>
          <w:tab w:val="center" w:pos="4156"/>
        </w:tabs>
        <w:ind w:firstLine="640"/>
        <w:jc w:val="center"/>
        <w:rPr>
          <w:rFonts w:eastAsia="仿宋_GB2312"/>
          <w:color w:val="auto"/>
          <w:sz w:val="24"/>
          <w:highlight w:val="none"/>
        </w:rPr>
      </w:pPr>
    </w:p>
    <w:p>
      <w:pPr>
        <w:tabs>
          <w:tab w:val="left" w:pos="1490"/>
          <w:tab w:val="center" w:pos="4156"/>
        </w:tabs>
        <w:jc w:val="center"/>
        <w:rPr>
          <w:rFonts w:eastAsia="仿宋_GB2312"/>
          <w:b/>
          <w:color w:val="auto"/>
          <w:sz w:val="36"/>
          <w:szCs w:val="36"/>
          <w:highlight w:val="none"/>
        </w:rPr>
      </w:pPr>
    </w:p>
    <w:p>
      <w:pPr>
        <w:tabs>
          <w:tab w:val="left" w:pos="1490"/>
          <w:tab w:val="center" w:pos="4156"/>
        </w:tabs>
        <w:spacing w:line="360" w:lineRule="auto"/>
        <w:ind w:firstLine="361" w:firstLineChars="100"/>
        <w:jc w:val="center"/>
        <w:rPr>
          <w:rFonts w:eastAsia="仿宋_GB2312"/>
          <w:b/>
          <w:color w:val="auto"/>
          <w:sz w:val="36"/>
          <w:szCs w:val="36"/>
          <w:highlight w:val="none"/>
        </w:rPr>
      </w:pPr>
      <w:r>
        <w:rPr>
          <w:rFonts w:hint="eastAsia" w:eastAsia="仿宋_GB2312"/>
          <w:b/>
          <w:color w:val="auto"/>
          <w:sz w:val="36"/>
          <w:szCs w:val="36"/>
          <w:highlight w:val="none"/>
          <w:lang w:val="en-US" w:eastAsia="zh-CN"/>
        </w:rPr>
        <w:t>和林格尔县</w:t>
      </w:r>
      <w:r>
        <w:rPr>
          <w:rFonts w:eastAsia="仿宋_GB2312"/>
          <w:b/>
          <w:color w:val="auto"/>
          <w:sz w:val="36"/>
          <w:szCs w:val="36"/>
          <w:highlight w:val="none"/>
        </w:rPr>
        <w:t>人民政府</w:t>
      </w:r>
    </w:p>
    <w:p>
      <w:pPr>
        <w:tabs>
          <w:tab w:val="left" w:pos="1490"/>
          <w:tab w:val="center" w:pos="4156"/>
        </w:tabs>
        <w:spacing w:line="360" w:lineRule="auto"/>
        <w:ind w:firstLine="361" w:firstLineChars="100"/>
        <w:jc w:val="center"/>
        <w:rPr>
          <w:rFonts w:eastAsia="仿宋_GB2312"/>
          <w:b/>
          <w:color w:val="auto"/>
          <w:sz w:val="36"/>
          <w:szCs w:val="36"/>
          <w:highlight w:val="none"/>
        </w:rPr>
      </w:pPr>
      <w:r>
        <w:rPr>
          <w:rFonts w:eastAsia="仿宋_GB2312"/>
          <w:b/>
          <w:color w:val="auto"/>
          <w:sz w:val="36"/>
          <w:szCs w:val="36"/>
          <w:highlight w:val="none"/>
        </w:rPr>
        <w:t>二〇二</w:t>
      </w:r>
      <w:r>
        <w:rPr>
          <w:rFonts w:hint="eastAsia" w:eastAsia="仿宋_GB2312"/>
          <w:b/>
          <w:color w:val="auto"/>
          <w:sz w:val="36"/>
          <w:szCs w:val="36"/>
          <w:highlight w:val="none"/>
          <w:lang w:val="en-US" w:eastAsia="zh-CN"/>
        </w:rPr>
        <w:t>五</w:t>
      </w:r>
      <w:r>
        <w:rPr>
          <w:rFonts w:eastAsia="仿宋_GB2312"/>
          <w:b/>
          <w:color w:val="auto"/>
          <w:sz w:val="36"/>
          <w:szCs w:val="36"/>
          <w:highlight w:val="none"/>
        </w:rPr>
        <w:t>年</w:t>
      </w:r>
      <w:r>
        <w:rPr>
          <w:rFonts w:hint="eastAsia" w:eastAsia="仿宋_GB2312"/>
          <w:b/>
          <w:color w:val="auto"/>
          <w:sz w:val="36"/>
          <w:szCs w:val="36"/>
          <w:highlight w:val="none"/>
          <w:lang w:val="en-US" w:eastAsia="zh-CN"/>
        </w:rPr>
        <w:t>二</w:t>
      </w:r>
      <w:r>
        <w:rPr>
          <w:rFonts w:eastAsia="仿宋_GB2312"/>
          <w:b/>
          <w:color w:val="auto"/>
          <w:sz w:val="36"/>
          <w:szCs w:val="36"/>
          <w:highlight w:val="none"/>
        </w:rPr>
        <w:t>月</w:t>
      </w:r>
    </w:p>
    <w:p>
      <w:pPr>
        <w:pStyle w:val="55"/>
        <w:rPr>
          <w:rFonts w:eastAsia="仿宋_GB2312"/>
          <w:b/>
          <w:color w:val="auto"/>
          <w:sz w:val="36"/>
          <w:szCs w:val="36"/>
          <w:highlight w:val="none"/>
        </w:rPr>
      </w:pPr>
    </w:p>
    <w:p>
      <w:pPr>
        <w:pStyle w:val="55"/>
        <w:rPr>
          <w:rFonts w:eastAsia="仿宋_GB2312"/>
          <w:b/>
          <w:color w:val="auto"/>
          <w:sz w:val="36"/>
          <w:szCs w:val="36"/>
          <w:highlight w:val="none"/>
        </w:rPr>
        <w:sectPr>
          <w:headerReference r:id="rId5" w:type="default"/>
          <w:footerReference r:id="rId6" w:type="default"/>
          <w:pgSz w:w="11907" w:h="16840"/>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linePitch="312" w:charSpace="0"/>
        </w:sectPr>
      </w:pPr>
    </w:p>
    <w:p>
      <w:pPr>
        <w:pStyle w:val="55"/>
        <w:rPr>
          <w:rFonts w:eastAsia="仿宋_GB2312"/>
          <w:b/>
          <w:color w:val="auto"/>
          <w:sz w:val="36"/>
          <w:szCs w:val="36"/>
          <w:highlight w:val="none"/>
        </w:rPr>
      </w:pPr>
    </w:p>
    <w:p>
      <w:pPr>
        <w:spacing w:before="20" w:line="572" w:lineRule="exact"/>
        <w:ind w:left="432" w:right="414"/>
        <w:jc w:val="center"/>
        <w:rPr>
          <w:rFonts w:eastAsia="仿宋_GB2312"/>
          <w:b/>
          <w:color w:val="auto"/>
          <w:sz w:val="44"/>
          <w:szCs w:val="44"/>
          <w:highlight w:val="none"/>
        </w:rPr>
      </w:pPr>
    </w:p>
    <w:p>
      <w:pPr>
        <w:tabs>
          <w:tab w:val="left" w:pos="1490"/>
          <w:tab w:val="center" w:pos="4156"/>
        </w:tabs>
        <w:spacing w:line="360" w:lineRule="auto"/>
        <w:ind w:firstLine="321" w:firstLineChars="100"/>
        <w:jc w:val="center"/>
        <w:rPr>
          <w:rFonts w:hint="default" w:ascii="Times New Roman" w:hAnsi="Times New Roman" w:eastAsia="仿宋_GB2312" w:cs="Times New Roman"/>
          <w:b/>
          <w:color w:val="auto"/>
          <w:sz w:val="32"/>
          <w:szCs w:val="32"/>
          <w:highlight w:val="none"/>
        </w:rPr>
      </w:pPr>
    </w:p>
    <w:p>
      <w:pPr>
        <w:tabs>
          <w:tab w:val="left" w:pos="1490"/>
          <w:tab w:val="center" w:pos="4156"/>
        </w:tabs>
        <w:spacing w:line="360" w:lineRule="auto"/>
        <w:ind w:firstLine="321" w:firstLineChars="100"/>
        <w:jc w:val="center"/>
        <w:rPr>
          <w:rFonts w:hint="default" w:ascii="Times New Roman" w:hAnsi="Times New Roman" w:eastAsia="仿宋_GB2312" w:cs="Times New Roman"/>
          <w:b/>
          <w:color w:val="auto"/>
          <w:sz w:val="32"/>
          <w:szCs w:val="32"/>
          <w:highlight w:val="none"/>
        </w:rPr>
      </w:pPr>
    </w:p>
    <w:p>
      <w:pPr>
        <w:tabs>
          <w:tab w:val="left" w:pos="1490"/>
          <w:tab w:val="center" w:pos="4156"/>
        </w:tabs>
        <w:spacing w:line="360" w:lineRule="auto"/>
        <w:ind w:firstLine="441" w:firstLineChars="100"/>
        <w:jc w:val="center"/>
        <w:outlineLvl w:val="9"/>
        <w:rPr>
          <w:rFonts w:hint="default" w:eastAsia="仿宋_GB2312"/>
          <w:b/>
          <w:color w:val="auto"/>
          <w:sz w:val="44"/>
          <w:szCs w:val="44"/>
          <w:highlight w:val="none"/>
          <w:lang w:val="en-US" w:eastAsia="zh-CN"/>
        </w:rPr>
      </w:pPr>
      <w:r>
        <w:rPr>
          <w:rFonts w:hint="eastAsia" w:eastAsia="仿宋_GB2312"/>
          <w:b/>
          <w:color w:val="auto"/>
          <w:sz w:val="44"/>
          <w:szCs w:val="44"/>
          <w:highlight w:val="none"/>
          <w:lang w:val="en-US" w:eastAsia="zh-CN"/>
        </w:rPr>
        <w:t>和林格尔县2025年城乡建设用地增减挂钩巧什营镇项目区实施方案</w:t>
      </w:r>
    </w:p>
    <w:p>
      <w:pPr>
        <w:spacing w:before="20" w:line="572" w:lineRule="exact"/>
        <w:ind w:left="432" w:right="414"/>
        <w:jc w:val="center"/>
        <w:rPr>
          <w:rFonts w:eastAsia="仿宋_GB2312"/>
          <w:b/>
          <w:color w:val="auto"/>
          <w:sz w:val="44"/>
          <w:szCs w:val="44"/>
          <w:highlight w:val="none"/>
        </w:rPr>
      </w:pPr>
    </w:p>
    <w:p>
      <w:pPr>
        <w:tabs>
          <w:tab w:val="left" w:pos="1490"/>
          <w:tab w:val="center" w:pos="4156"/>
        </w:tabs>
        <w:jc w:val="center"/>
        <w:rPr>
          <w:rFonts w:hint="default" w:eastAsia="仿宋_GB2312" w:cs="Times New Roman"/>
          <w:b/>
          <w:color w:val="auto"/>
          <w:sz w:val="48"/>
          <w:szCs w:val="48"/>
          <w:highlight w:val="none"/>
          <w:lang w:val="en-US" w:eastAsia="zh-CN"/>
        </w:rPr>
      </w:pPr>
    </w:p>
    <w:p>
      <w:pPr>
        <w:tabs>
          <w:tab w:val="left" w:pos="1490"/>
          <w:tab w:val="center" w:pos="4156"/>
        </w:tabs>
        <w:jc w:val="center"/>
        <w:rPr>
          <w:rFonts w:hint="eastAsia" w:eastAsia="仿宋_GB2312" w:cs="Times New Roman"/>
          <w:b/>
          <w:color w:val="auto"/>
          <w:sz w:val="48"/>
          <w:szCs w:val="48"/>
          <w:highlight w:val="none"/>
          <w:lang w:eastAsia="zh-CN"/>
        </w:rPr>
      </w:pPr>
    </w:p>
    <w:p>
      <w:pPr>
        <w:tabs>
          <w:tab w:val="left" w:pos="1490"/>
          <w:tab w:val="center" w:pos="4156"/>
        </w:tabs>
        <w:jc w:val="center"/>
        <w:rPr>
          <w:rFonts w:hint="eastAsia" w:eastAsia="仿宋_GB2312" w:cs="Times New Roman"/>
          <w:b/>
          <w:color w:val="auto"/>
          <w:sz w:val="48"/>
          <w:szCs w:val="48"/>
          <w:highlight w:val="none"/>
          <w:lang w:eastAsia="zh-CN"/>
        </w:rPr>
      </w:pPr>
    </w:p>
    <w:p>
      <w:pPr>
        <w:tabs>
          <w:tab w:val="left" w:pos="1490"/>
          <w:tab w:val="center" w:pos="4156"/>
        </w:tabs>
        <w:jc w:val="center"/>
        <w:rPr>
          <w:rFonts w:hint="eastAsia" w:eastAsia="仿宋_GB2312" w:cs="Times New Roman"/>
          <w:b/>
          <w:color w:val="auto"/>
          <w:sz w:val="48"/>
          <w:szCs w:val="48"/>
          <w:highlight w:val="none"/>
          <w:lang w:eastAsia="zh-CN"/>
        </w:rPr>
      </w:pPr>
    </w:p>
    <w:p>
      <w:pPr>
        <w:tabs>
          <w:tab w:val="left" w:pos="1490"/>
          <w:tab w:val="center" w:pos="4156"/>
        </w:tabs>
        <w:jc w:val="center"/>
        <w:rPr>
          <w:rFonts w:hint="eastAsia" w:eastAsia="仿宋_GB2312" w:cs="Times New Roman"/>
          <w:b/>
          <w:color w:val="auto"/>
          <w:sz w:val="48"/>
          <w:szCs w:val="48"/>
          <w:highlight w:val="none"/>
          <w:lang w:eastAsia="zh-CN"/>
        </w:rPr>
      </w:pPr>
    </w:p>
    <w:p>
      <w:pPr>
        <w:tabs>
          <w:tab w:val="left" w:pos="1490"/>
          <w:tab w:val="center" w:pos="4156"/>
        </w:tabs>
        <w:jc w:val="center"/>
        <w:rPr>
          <w:rFonts w:hint="eastAsia" w:eastAsia="仿宋_GB2312" w:cs="Times New Roman"/>
          <w:b/>
          <w:color w:val="auto"/>
          <w:sz w:val="48"/>
          <w:szCs w:val="48"/>
          <w:highlight w:val="none"/>
          <w:lang w:eastAsia="zh-CN"/>
        </w:rPr>
      </w:pPr>
    </w:p>
    <w:p>
      <w:pPr>
        <w:tabs>
          <w:tab w:val="left" w:pos="1490"/>
          <w:tab w:val="center" w:pos="4156"/>
        </w:tabs>
        <w:jc w:val="center"/>
        <w:rPr>
          <w:rFonts w:hint="eastAsia" w:eastAsia="仿宋_GB2312" w:cs="Times New Roman"/>
          <w:b/>
          <w:color w:val="auto"/>
          <w:sz w:val="48"/>
          <w:szCs w:val="48"/>
          <w:highlight w:val="none"/>
          <w:lang w:eastAsia="zh-CN"/>
        </w:rPr>
      </w:pPr>
    </w:p>
    <w:p>
      <w:pPr>
        <w:tabs>
          <w:tab w:val="left" w:pos="1490"/>
          <w:tab w:val="center" w:pos="4156"/>
        </w:tabs>
        <w:spacing w:line="360" w:lineRule="auto"/>
        <w:jc w:val="center"/>
        <w:rPr>
          <w:rFonts w:hint="eastAsia" w:eastAsia="仿宋_GB2312" w:cs="Times New Roman"/>
          <w:b/>
          <w:color w:val="auto"/>
          <w:sz w:val="48"/>
          <w:szCs w:val="48"/>
          <w:highlight w:val="none"/>
          <w:lang w:eastAsia="zh-CN"/>
        </w:rPr>
      </w:pPr>
    </w:p>
    <w:p>
      <w:pPr>
        <w:snapToGrid w:val="0"/>
        <w:spacing w:line="360" w:lineRule="auto"/>
        <w:jc w:val="left"/>
        <w:rPr>
          <w:rFonts w:hint="default"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rPr>
        <w:t>项目承担单位：</w:t>
      </w:r>
      <w:r>
        <w:rPr>
          <w:rFonts w:hint="eastAsia" w:ascii="仿宋" w:hAnsi="仿宋" w:cs="仿宋"/>
          <w:b/>
          <w:bCs/>
          <w:color w:val="auto"/>
          <w:sz w:val="32"/>
          <w:szCs w:val="32"/>
          <w:highlight w:val="none"/>
          <w:lang w:val="en-US" w:eastAsia="zh-CN"/>
        </w:rPr>
        <w:t>和林格尔</w:t>
      </w:r>
      <w:r>
        <w:rPr>
          <w:rFonts w:hint="eastAsia" w:ascii="仿宋" w:hAnsi="仿宋" w:eastAsia="仿宋" w:cs="仿宋"/>
          <w:b/>
          <w:bCs/>
          <w:color w:val="auto"/>
          <w:sz w:val="32"/>
          <w:szCs w:val="32"/>
          <w:highlight w:val="none"/>
          <w:lang w:val="en-US" w:eastAsia="zh-CN"/>
        </w:rPr>
        <w:t>县自然资源局</w:t>
      </w:r>
    </w:p>
    <w:p>
      <w:pPr>
        <w:snapToGrid w:val="0"/>
        <w:spacing w:line="360" w:lineRule="auto"/>
        <w:jc w:val="left"/>
        <w:rPr>
          <w:rFonts w:hint="default"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rPr>
        <w:t>项目编制单位：</w:t>
      </w:r>
      <w:r>
        <w:rPr>
          <w:rFonts w:hint="eastAsia" w:ascii="仿宋" w:hAnsi="仿宋" w:eastAsia="仿宋" w:cs="仿宋"/>
          <w:b/>
          <w:bCs/>
          <w:color w:val="auto"/>
          <w:sz w:val="32"/>
          <w:szCs w:val="32"/>
          <w:highlight w:val="none"/>
          <w:lang w:val="en-US" w:eastAsia="zh-CN"/>
        </w:rPr>
        <w:t>内蒙古景宏测绘咨询服务有限公司</w:t>
      </w:r>
    </w:p>
    <w:p>
      <w:pPr>
        <w:snapToGrid w:val="0"/>
        <w:spacing w:line="360" w:lineRule="auto"/>
        <w:jc w:val="left"/>
        <w:outlineLvl w:val="9"/>
        <w:rPr>
          <w:rFonts w:hint="eastAsia" w:ascii="仿宋" w:hAnsi="仿宋" w:eastAsia="仿宋" w:cs="仿宋"/>
          <w:b/>
          <w:bCs/>
          <w:color w:val="auto"/>
          <w:sz w:val="32"/>
          <w:szCs w:val="32"/>
          <w:highlight w:val="none"/>
          <w:lang w:eastAsia="zh-CN"/>
        </w:rPr>
        <w:sectPr>
          <w:footerReference r:id="rId7" w:type="default"/>
          <w:pgSz w:w="11907" w:h="16840"/>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linePitch="312" w:charSpace="0"/>
        </w:sectPr>
      </w:pPr>
      <w:bookmarkStart w:id="0" w:name="_Toc15682"/>
      <w:r>
        <w:rPr>
          <w:rFonts w:hint="eastAsia" w:ascii="仿宋" w:hAnsi="仿宋" w:eastAsia="仿宋" w:cs="仿宋"/>
          <w:b/>
          <w:bCs/>
          <w:color w:val="auto"/>
          <w:sz w:val="32"/>
          <w:szCs w:val="32"/>
          <w:highlight w:val="none"/>
        </w:rPr>
        <w:t>日        期：</w:t>
      </w:r>
      <w:r>
        <w:rPr>
          <w:rFonts w:hint="eastAsia" w:ascii="仿宋" w:hAnsi="仿宋" w:eastAsia="仿宋" w:cs="仿宋"/>
          <w:b/>
          <w:bCs/>
          <w:color w:val="auto"/>
          <w:sz w:val="32"/>
          <w:szCs w:val="32"/>
          <w:highlight w:val="none"/>
          <w:lang w:eastAsia="zh-CN"/>
        </w:rPr>
        <w:t>二〇二</w:t>
      </w:r>
      <w:r>
        <w:rPr>
          <w:rFonts w:hint="eastAsia" w:ascii="仿宋" w:hAnsi="仿宋" w:cs="仿宋"/>
          <w:b/>
          <w:bCs/>
          <w:color w:val="auto"/>
          <w:sz w:val="32"/>
          <w:szCs w:val="32"/>
          <w:highlight w:val="none"/>
          <w:lang w:val="en-US" w:eastAsia="zh-CN"/>
        </w:rPr>
        <w:t>五</w:t>
      </w:r>
      <w:r>
        <w:rPr>
          <w:rFonts w:hint="eastAsia" w:ascii="仿宋" w:hAnsi="仿宋" w:eastAsia="仿宋" w:cs="仿宋"/>
          <w:b/>
          <w:bCs/>
          <w:color w:val="auto"/>
          <w:sz w:val="32"/>
          <w:szCs w:val="32"/>
          <w:highlight w:val="none"/>
          <w:lang w:eastAsia="zh-CN"/>
        </w:rPr>
        <w:t>年</w:t>
      </w:r>
      <w:r>
        <w:rPr>
          <w:rFonts w:hint="eastAsia" w:ascii="仿宋" w:hAnsi="仿宋" w:cs="仿宋"/>
          <w:b/>
          <w:bCs/>
          <w:color w:val="auto"/>
          <w:sz w:val="32"/>
          <w:szCs w:val="32"/>
          <w:highlight w:val="none"/>
          <w:lang w:val="en-US" w:eastAsia="zh-CN"/>
        </w:rPr>
        <w:t>三</w:t>
      </w:r>
      <w:r>
        <w:rPr>
          <w:rFonts w:hint="eastAsia" w:ascii="仿宋" w:hAnsi="仿宋" w:eastAsia="仿宋" w:cs="仿宋"/>
          <w:b/>
          <w:bCs/>
          <w:color w:val="auto"/>
          <w:sz w:val="32"/>
          <w:szCs w:val="32"/>
          <w:highlight w:val="none"/>
          <w:lang w:eastAsia="zh-CN"/>
        </w:rPr>
        <w:t>月</w:t>
      </w:r>
      <w:bookmarkEnd w:id="0"/>
    </w:p>
    <w:p>
      <w:pPr>
        <w:pStyle w:val="55"/>
        <w:keepNext w:val="0"/>
        <w:keepLines w:val="0"/>
        <w:pageBreakBefore w:val="0"/>
        <w:kinsoku/>
        <w:wordWrap/>
        <w:overflowPunct/>
        <w:topLinePunct w:val="0"/>
        <w:autoSpaceDE/>
        <w:autoSpaceDN/>
        <w:bidi w:val="0"/>
        <w:adjustRightInd/>
        <w:snapToGrid/>
        <w:ind w:firstLine="0" w:firstLineChars="0"/>
        <w:jc w:val="center"/>
      </w:pPr>
      <w:r>
        <w:drawing>
          <wp:inline distT="0" distB="0" distL="114300" distR="114300">
            <wp:extent cx="5269865" cy="3717925"/>
            <wp:effectExtent l="0" t="0" r="6985" b="15875"/>
            <wp:docPr id="11" name="图片 19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93"/>
                    <pic:cNvPicPr>
                      <a:picLocks noChangeAspect="true"/>
                    </pic:cNvPicPr>
                  </pic:nvPicPr>
                  <pic:blipFill>
                    <a:blip r:embed="rId14"/>
                    <a:stretch>
                      <a:fillRect/>
                    </a:stretch>
                  </pic:blipFill>
                  <pic:spPr>
                    <a:xfrm>
                      <a:off x="0" y="0"/>
                      <a:ext cx="5269865" cy="3717925"/>
                    </a:xfrm>
                    <a:prstGeom prst="rect">
                      <a:avLst/>
                    </a:prstGeom>
                    <a:noFill/>
                    <a:ln>
                      <a:noFill/>
                    </a:ln>
                  </pic:spPr>
                </pic:pic>
              </a:graphicData>
            </a:graphic>
          </wp:inline>
        </w:drawing>
      </w:r>
    </w:p>
    <w:p>
      <w:pPr>
        <w:pStyle w:val="55"/>
        <w:keepNext w:val="0"/>
        <w:keepLines w:val="0"/>
        <w:pageBreakBefore w:val="0"/>
        <w:kinsoku/>
        <w:wordWrap/>
        <w:overflowPunct/>
        <w:topLinePunct w:val="0"/>
        <w:autoSpaceDE/>
        <w:autoSpaceDN/>
        <w:bidi w:val="0"/>
        <w:adjustRightInd/>
        <w:snapToGrid/>
        <w:ind w:firstLine="0" w:firstLineChars="0"/>
        <w:jc w:val="center"/>
        <w:rPr>
          <w:rFonts w:ascii="Times New Roman" w:hAnsi="Times New Roman" w:eastAsia="仿宋_GB2312"/>
          <w:b/>
          <w:color w:val="auto"/>
          <w:sz w:val="32"/>
          <w:szCs w:val="32"/>
          <w:highlight w:val="none"/>
        </w:rPr>
      </w:pPr>
      <w:r>
        <w:drawing>
          <wp:inline distT="0" distB="0" distL="114300" distR="114300">
            <wp:extent cx="5257800" cy="6934200"/>
            <wp:effectExtent l="0" t="0" r="0" b="0"/>
            <wp:docPr id="1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true"/>
                    </pic:cNvPicPr>
                  </pic:nvPicPr>
                  <pic:blipFill>
                    <a:blip r:embed="rId15"/>
                    <a:stretch>
                      <a:fillRect/>
                    </a:stretch>
                  </pic:blipFill>
                  <pic:spPr>
                    <a:xfrm>
                      <a:off x="0" y="0"/>
                      <a:ext cx="5257800" cy="6934200"/>
                    </a:xfrm>
                    <a:prstGeom prst="rect">
                      <a:avLst/>
                    </a:prstGeom>
                    <a:noFill/>
                    <a:ln>
                      <a:noFill/>
                    </a:ln>
                  </pic:spPr>
                </pic:pic>
              </a:graphicData>
            </a:graphic>
          </wp:inline>
        </w:drawing>
      </w:r>
    </w:p>
    <w:p>
      <w:pPr>
        <w:pStyle w:val="55"/>
        <w:keepNext w:val="0"/>
        <w:keepLines w:val="0"/>
        <w:pageBreakBefore w:val="0"/>
        <w:kinsoku/>
        <w:wordWrap/>
        <w:overflowPunct/>
        <w:topLinePunct w:val="0"/>
        <w:autoSpaceDE/>
        <w:autoSpaceDN/>
        <w:bidi w:val="0"/>
        <w:adjustRightInd/>
        <w:snapToGrid/>
        <w:ind w:firstLine="0" w:firstLineChars="0"/>
        <w:rPr>
          <w:rFonts w:ascii="Times New Roman" w:hAnsi="Times New Roman" w:eastAsia="仿宋_GB2312"/>
          <w:b/>
          <w:color w:val="auto"/>
          <w:sz w:val="32"/>
          <w:szCs w:val="32"/>
          <w:highlight w:val="none"/>
        </w:rPr>
      </w:pPr>
    </w:p>
    <w:p>
      <w:pPr>
        <w:pStyle w:val="55"/>
        <w:keepNext w:val="0"/>
        <w:keepLines w:val="0"/>
        <w:pageBreakBefore w:val="0"/>
        <w:kinsoku/>
        <w:wordWrap/>
        <w:overflowPunct/>
        <w:topLinePunct w:val="0"/>
        <w:autoSpaceDE/>
        <w:autoSpaceDN/>
        <w:bidi w:val="0"/>
        <w:adjustRightInd/>
        <w:snapToGrid/>
        <w:ind w:firstLine="0" w:firstLineChars="0"/>
        <w:rPr>
          <w:rFonts w:ascii="Times New Roman" w:hAnsi="Times New Roman" w:eastAsia="仿宋_GB2312"/>
          <w:b/>
          <w:color w:val="auto"/>
          <w:sz w:val="32"/>
          <w:szCs w:val="32"/>
          <w:highlight w:val="none"/>
        </w:rPr>
      </w:pPr>
    </w:p>
    <w:p>
      <w:pPr>
        <w:jc w:val="center"/>
        <w:rPr>
          <w:rFonts w:eastAsia="仿宋_GB2312"/>
          <w:b/>
          <w:color w:val="auto"/>
          <w:sz w:val="48"/>
          <w:szCs w:val="48"/>
          <w:highlight w:val="none"/>
        </w:rPr>
        <w:sectPr>
          <w:footerReference r:id="rId8" w:type="default"/>
          <w:pgSz w:w="11907" w:h="16840"/>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linePitch="312" w:charSpace="0"/>
        </w:sectPr>
      </w:pPr>
    </w:p>
    <w:p>
      <w:pPr>
        <w:ind w:left="0" w:leftChars="0" w:firstLine="0" w:firstLineChars="0"/>
        <w:jc w:val="center"/>
        <w:rPr>
          <w:rFonts w:eastAsia="仿宋_GB2312"/>
          <w:b/>
          <w:color w:val="auto"/>
          <w:sz w:val="32"/>
          <w:szCs w:val="32"/>
          <w:highlight w:val="none"/>
        </w:rPr>
      </w:pPr>
      <w:r>
        <w:rPr>
          <w:rFonts w:eastAsia="仿宋_GB2312"/>
          <w:b/>
          <w:color w:val="auto"/>
          <w:sz w:val="32"/>
          <w:szCs w:val="32"/>
          <w:highlight w:val="none"/>
        </w:rPr>
        <w:t>目  录</w:t>
      </w:r>
    </w:p>
    <w:p>
      <w:pPr>
        <w:pStyle w:val="20"/>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eastAsia="仿宋_GB2312"/>
          <w:b w:val="0"/>
          <w:caps w:val="0"/>
          <w:color w:val="auto"/>
          <w:sz w:val="28"/>
          <w:szCs w:val="28"/>
          <w:highlight w:val="none"/>
        </w:rPr>
        <w:fldChar w:fldCharType="begin"/>
      </w:r>
      <w:r>
        <w:rPr>
          <w:rFonts w:eastAsia="仿宋_GB2312"/>
          <w:b w:val="0"/>
          <w:caps w:val="0"/>
          <w:color w:val="auto"/>
          <w:sz w:val="28"/>
          <w:szCs w:val="28"/>
          <w:highlight w:val="none"/>
        </w:rPr>
        <w:instrText xml:space="preserve"> TOC \o "1-2" \h \z \u </w:instrText>
      </w:r>
      <w:r>
        <w:rPr>
          <w:rFonts w:eastAsia="仿宋_GB2312"/>
          <w:b w:val="0"/>
          <w:caps w:val="0"/>
          <w:color w:val="auto"/>
          <w:sz w:val="28"/>
          <w:szCs w:val="28"/>
          <w:highlight w:val="none"/>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_Toc20058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第一章 综合说明</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_Toc20058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1</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_Toc25244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1.1 项目背景</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_Toc25244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1</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_Toc13136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1.2 目的意义</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_Toc13136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2</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_Toc28279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1.3 指导思想</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_Toc28279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2</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_Toc29738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1.4 基本原则</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_Toc29738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3</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_Toc16588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1.5 方案编制任务</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_Toc16588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4</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_Toc30758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1.6 规划依据</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_Toc30758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5</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0"/>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_Toc5896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第二章 项目区概况</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_Toc5896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7</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_Toc21886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2.1 项目区基本情况</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_Toc21886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7</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_Toc19195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2.2 项目区所在地概况</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_Toc19195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11</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0"/>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_Toc4437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第三章</w:t>
      </w:r>
      <w:r>
        <w:rPr>
          <w:rFonts w:hint="default" w:ascii="Times New Roman" w:hAnsi="Times New Roman" w:eastAsia="仿宋" w:cs="Times New Roman"/>
          <w:b w:val="0"/>
          <w:bCs w:val="0"/>
          <w:caps w:val="0"/>
          <w:color w:val="auto"/>
          <w:kern w:val="2"/>
          <w:sz w:val="28"/>
          <w:szCs w:val="24"/>
          <w:highlight w:val="none"/>
          <w:lang w:val="en-US" w:eastAsia="zh-CN" w:bidi="ar-SA"/>
        </w:rPr>
        <w:t>项</w:t>
      </w:r>
      <w:r>
        <w:rPr>
          <w:rFonts w:hint="eastAsia" w:ascii="Times New Roman" w:hAnsi="Times New Roman" w:eastAsia="仿宋" w:cs="Times New Roman"/>
          <w:b w:val="0"/>
          <w:bCs w:val="0"/>
          <w:caps w:val="0"/>
          <w:color w:val="auto"/>
          <w:kern w:val="2"/>
          <w:sz w:val="28"/>
          <w:szCs w:val="24"/>
          <w:highlight w:val="none"/>
          <w:lang w:val="en-US" w:eastAsia="zh-CN" w:bidi="ar-SA"/>
        </w:rPr>
        <w:t>目综合分析</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_Toc4437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13</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_Toc23941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3.1 项目实施必要性</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_Toc23941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13</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_Toc8238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3.2 项目实施可行性分析</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_Toc8238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14</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_Toc5044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3.3 拆旧区复垦潜力分析</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_Toc5044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15</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0"/>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_Toc13073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第四章项目区实施方案</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_Toc13073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18</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_Toc8669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4.1 拆旧区复垦方案</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_Toc8669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19</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_Toc32447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4.2建新安置方案</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_Toc32447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28</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_Toc31863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4.3 拆旧区复垦工程</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_Toc31863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30</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_Toc21929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4.4 项目区拆旧复垦实施进度计划</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_Toc21929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30</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0"/>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_Toc25784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第五章土地权属调整及公众参与情况</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_Toc25784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34</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_Toc29319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5.1 土地权属调整</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_Toc29319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34</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_Toc14160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5.2 公众参与情况</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_Toc14160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34</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0"/>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_Toc196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第六章投资估算与资金筹资</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_Toc196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35</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_Toc30126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default" w:ascii="Times New Roman" w:hAnsi="Times New Roman" w:eastAsia="仿宋" w:cs="Times New Roman"/>
          <w:b w:val="0"/>
          <w:bCs w:val="0"/>
          <w:caps w:val="0"/>
          <w:color w:val="auto"/>
          <w:kern w:val="2"/>
          <w:sz w:val="28"/>
          <w:szCs w:val="24"/>
          <w:highlight w:val="none"/>
          <w:lang w:val="en-US" w:eastAsia="zh-CN" w:bidi="ar-SA"/>
        </w:rPr>
        <w:t>6.1 投资估算原则</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_Toc30126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35</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_Toc6418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default" w:ascii="Times New Roman" w:hAnsi="Times New Roman" w:eastAsia="仿宋" w:cs="Times New Roman"/>
          <w:b w:val="0"/>
          <w:bCs w:val="0"/>
          <w:caps w:val="0"/>
          <w:color w:val="auto"/>
          <w:kern w:val="2"/>
          <w:sz w:val="28"/>
          <w:szCs w:val="24"/>
          <w:highlight w:val="none"/>
          <w:lang w:val="en-US" w:eastAsia="zh-CN" w:bidi="ar-SA"/>
        </w:rPr>
        <w:t>6.2 投资估算依据</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_Toc6418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35</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_Toc1710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default" w:ascii="Times New Roman" w:hAnsi="Times New Roman" w:eastAsia="仿宋" w:cs="Times New Roman"/>
          <w:b w:val="0"/>
          <w:bCs w:val="0"/>
          <w:caps w:val="0"/>
          <w:color w:val="auto"/>
          <w:kern w:val="2"/>
          <w:sz w:val="28"/>
          <w:szCs w:val="24"/>
          <w:highlight w:val="none"/>
          <w:lang w:val="en-US" w:eastAsia="zh-CN" w:bidi="ar-SA"/>
        </w:rPr>
        <w:t>6.3 估算费用构成</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_Toc1710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35</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_Toc23530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6.4 资金筹措途径</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_Toc23530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36</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_Toc20918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6.5 资金保障措施</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_Toc20918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36</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0"/>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_Toc24773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第七章项目实施评价与效益分析</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_Toc24773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37</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_Toc12147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7.1 项目实施方案评价</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_Toc12147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37</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_Toc10311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7.2 效益分析</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_Toc10311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38</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0"/>
        <w:tabs>
          <w:tab w:val="right" w:leader="dot" w:pos="8313"/>
        </w:tabs>
        <w:ind w:firstLine="840" w:firstLineChars="300"/>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_Toc17889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7.2.2 经济效益分析</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_Toc17889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39</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0"/>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_Toc28865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第八章项目实施保障措施</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_Toc28865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42</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_Toc20808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8.1 组织保障</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_Toc20808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42</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_Toc1964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8.2 政策保障</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_Toc1964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42</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_Toc10824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8.3 制度措施</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_Toc10824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42</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_Toc18443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8.4 资金保障</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_Toc18443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43</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_Toc6451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8.5 后期管护</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_Toc6451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43</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0"/>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_Toc18754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第九章社会风险评估</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_Toc18754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46</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_Toc22505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9.1社会稳定风险调查</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_Toc22505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46</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_Toc619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9.2社会稳定风险综合评价</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_Toc619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47</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3"/>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_Toc4340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zh-CN" w:eastAsia="zh-CN" w:bidi="ar-SA"/>
        </w:rPr>
        <w:t>9.3社会稳定风险防范措施</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_Toc4340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47</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0"/>
        <w:tabs>
          <w:tab w:val="right" w:leader="dot" w:pos="8313"/>
        </w:tabs>
        <w:rPr>
          <w:rFonts w:hint="eastAsia" w:ascii="Times New Roman" w:hAnsi="Times New Roman" w:eastAsia="仿宋" w:cs="Times New Roman"/>
          <w:b w:val="0"/>
          <w:bCs w:val="0"/>
          <w:caps w:val="0"/>
          <w:color w:val="auto"/>
          <w:kern w:val="2"/>
          <w:sz w:val="28"/>
          <w:szCs w:val="24"/>
          <w:highlight w:val="none"/>
          <w:lang w:val="en-US" w:eastAsia="zh-CN" w:bidi="ar-SA"/>
        </w:rPr>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_Toc18139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附件：</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_Toc18139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49</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pStyle w:val="20"/>
        <w:tabs>
          <w:tab w:val="right" w:leader="dot" w:pos="8313"/>
        </w:tabs>
      </w:pP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HYPERLINK \l _Toc7567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附图：</w:t>
      </w:r>
      <w:r>
        <w:rPr>
          <w:rFonts w:hint="eastAsia" w:ascii="Times New Roman" w:hAnsi="Times New Roman" w:eastAsia="仿宋" w:cs="Times New Roman"/>
          <w:b w:val="0"/>
          <w:bCs w:val="0"/>
          <w:caps w:val="0"/>
          <w:color w:val="auto"/>
          <w:kern w:val="2"/>
          <w:sz w:val="28"/>
          <w:szCs w:val="24"/>
          <w:highlight w:val="none"/>
          <w:lang w:val="en-US" w:eastAsia="zh-CN" w:bidi="ar-SA"/>
        </w:rPr>
        <w:tab/>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begin"/>
      </w:r>
      <w:r>
        <w:rPr>
          <w:rFonts w:hint="eastAsia" w:ascii="Times New Roman" w:hAnsi="Times New Roman" w:eastAsia="仿宋" w:cs="Times New Roman"/>
          <w:b w:val="0"/>
          <w:bCs w:val="0"/>
          <w:caps w:val="0"/>
          <w:color w:val="auto"/>
          <w:kern w:val="2"/>
          <w:sz w:val="28"/>
          <w:szCs w:val="24"/>
          <w:highlight w:val="none"/>
          <w:lang w:val="en-US" w:eastAsia="zh-CN" w:bidi="ar-SA"/>
        </w:rPr>
        <w:instrText xml:space="preserve"> PAGEREF _Toc7567 \h </w:instrTex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separate"/>
      </w:r>
      <w:r>
        <w:rPr>
          <w:rFonts w:hint="eastAsia" w:ascii="Times New Roman" w:hAnsi="Times New Roman" w:eastAsia="仿宋" w:cs="Times New Roman"/>
          <w:b w:val="0"/>
          <w:bCs w:val="0"/>
          <w:caps w:val="0"/>
          <w:color w:val="auto"/>
          <w:kern w:val="2"/>
          <w:sz w:val="28"/>
          <w:szCs w:val="24"/>
          <w:highlight w:val="none"/>
          <w:lang w:val="en-US" w:eastAsia="zh-CN" w:bidi="ar-SA"/>
        </w:rPr>
        <w:t>50</w:t>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r>
        <w:rPr>
          <w:rFonts w:hint="eastAsia" w:ascii="Times New Roman" w:hAnsi="Times New Roman" w:eastAsia="仿宋" w:cs="Times New Roman"/>
          <w:b w:val="0"/>
          <w:bCs w:val="0"/>
          <w:caps w:val="0"/>
          <w:color w:val="auto"/>
          <w:kern w:val="2"/>
          <w:sz w:val="28"/>
          <w:szCs w:val="24"/>
          <w:highlight w:val="none"/>
          <w:lang w:val="en-US" w:eastAsia="zh-CN" w:bidi="ar-SA"/>
        </w:rPr>
        <w:fldChar w:fldCharType="end"/>
      </w:r>
    </w:p>
    <w:p>
      <w:pPr>
        <w:snapToGrid w:val="0"/>
        <w:spacing w:line="360" w:lineRule="auto"/>
        <w:ind w:firstLine="560"/>
        <w:rPr>
          <w:rFonts w:eastAsia="仿宋_GB2312"/>
          <w:color w:val="auto"/>
          <w:sz w:val="28"/>
          <w:szCs w:val="28"/>
          <w:highlight w:val="none"/>
        </w:rPr>
        <w:sectPr>
          <w:headerReference r:id="rId9" w:type="default"/>
          <w:footerReference r:id="rId10" w:type="default"/>
          <w:pgSz w:w="11907" w:h="16840"/>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r>
        <w:rPr>
          <w:rFonts w:eastAsia="仿宋_GB2312"/>
          <w:bCs/>
          <w:color w:val="auto"/>
          <w:szCs w:val="28"/>
          <w:highlight w:val="none"/>
        </w:rPr>
        <w:fldChar w:fldCharType="end"/>
      </w:r>
    </w:p>
    <w:p>
      <w:pPr>
        <w:pStyle w:val="2"/>
        <w:bidi w:val="0"/>
        <w:rPr>
          <w:highlight w:val="none"/>
        </w:rPr>
      </w:pPr>
      <w:bookmarkStart w:id="1" w:name="_Toc13540"/>
      <w:bookmarkStart w:id="2" w:name="_Toc20058"/>
      <w:bookmarkStart w:id="3" w:name="_Toc4766"/>
      <w:bookmarkStart w:id="4" w:name="_Toc15552"/>
      <w:r>
        <w:rPr>
          <w:highlight w:val="none"/>
        </w:rPr>
        <w:t>第一章 综合说明</w:t>
      </w:r>
      <w:bookmarkEnd w:id="1"/>
      <w:bookmarkEnd w:id="2"/>
      <w:bookmarkEnd w:id="3"/>
      <w:bookmarkEnd w:id="4"/>
    </w:p>
    <w:p>
      <w:pPr>
        <w:pStyle w:val="3"/>
        <w:bidi w:val="0"/>
        <w:rPr>
          <w:highlight w:val="none"/>
        </w:rPr>
      </w:pPr>
      <w:bookmarkStart w:id="5" w:name="_Toc25244"/>
      <w:bookmarkStart w:id="6" w:name="_Toc24561"/>
      <w:bookmarkStart w:id="7" w:name="_Toc160511690"/>
      <w:bookmarkStart w:id="8" w:name="_Toc22688"/>
      <w:bookmarkStart w:id="9" w:name="_Toc363651361"/>
      <w:bookmarkStart w:id="10" w:name="_Toc363651277"/>
      <w:bookmarkStart w:id="11" w:name="_Toc183011747"/>
      <w:bookmarkStart w:id="12" w:name="_Toc24884"/>
      <w:bookmarkStart w:id="13" w:name="_Toc363651192"/>
      <w:r>
        <w:rPr>
          <w:highlight w:val="none"/>
        </w:rPr>
        <w:t>1.1 项目背景</w:t>
      </w:r>
      <w:bookmarkEnd w:id="5"/>
      <w:bookmarkEnd w:id="6"/>
      <w:bookmarkEnd w:id="7"/>
      <w:bookmarkEnd w:id="8"/>
      <w:bookmarkEnd w:id="9"/>
      <w:bookmarkEnd w:id="10"/>
      <w:bookmarkEnd w:id="11"/>
      <w:bookmarkEnd w:id="12"/>
      <w:bookmarkEnd w:id="13"/>
    </w:p>
    <w:p>
      <w:pPr>
        <w:bidi w:val="0"/>
        <w:ind w:firstLine="560" w:firstLineChars="200"/>
        <w:rPr>
          <w:rFonts w:hint="eastAsia" w:eastAsia="仿宋"/>
          <w:color w:val="auto"/>
          <w:highlight w:val="none"/>
          <w:lang w:eastAsia="zh-CN"/>
        </w:rPr>
      </w:pPr>
      <w:bookmarkStart w:id="14" w:name="_Toc363651278"/>
      <w:bookmarkStart w:id="15" w:name="_Toc363651193"/>
      <w:bookmarkStart w:id="16" w:name="_Toc363651362"/>
      <w:bookmarkStart w:id="17" w:name="_Toc160511691"/>
      <w:bookmarkStart w:id="18" w:name="_Toc183011748"/>
      <w:bookmarkStart w:id="19" w:name="_Toc29376"/>
      <w:r>
        <w:rPr>
          <w:rFonts w:hint="eastAsia"/>
          <w:color w:val="auto"/>
          <w:highlight w:val="none"/>
        </w:rPr>
        <w:t>城乡建设用地增减挂钩是指将若干拟整理复垦为</w:t>
      </w:r>
      <w:r>
        <w:rPr>
          <w:rFonts w:hint="eastAsia"/>
          <w:color w:val="auto"/>
          <w:highlight w:val="none"/>
          <w:lang w:val="en-US" w:eastAsia="zh-CN"/>
        </w:rPr>
        <w:t>农用地</w:t>
      </w:r>
      <w:r>
        <w:rPr>
          <w:rFonts w:hint="eastAsia"/>
          <w:color w:val="auto"/>
          <w:highlight w:val="none"/>
        </w:rPr>
        <w:t>的农村建设用地地块</w:t>
      </w:r>
      <w:r>
        <w:rPr>
          <w:rFonts w:hint="eastAsia"/>
          <w:color w:val="auto"/>
          <w:highlight w:val="none"/>
          <w:lang w:eastAsia="zh-CN"/>
        </w:rPr>
        <w:t>（</w:t>
      </w:r>
      <w:r>
        <w:rPr>
          <w:rFonts w:hint="eastAsia"/>
          <w:color w:val="auto"/>
          <w:highlight w:val="none"/>
        </w:rPr>
        <w:t>即拆旧地块</w:t>
      </w:r>
      <w:r>
        <w:rPr>
          <w:rFonts w:hint="eastAsia"/>
          <w:color w:val="auto"/>
          <w:highlight w:val="none"/>
          <w:lang w:eastAsia="zh-CN"/>
        </w:rPr>
        <w:t>）</w:t>
      </w:r>
      <w:r>
        <w:rPr>
          <w:rFonts w:hint="eastAsia"/>
          <w:color w:val="auto"/>
          <w:highlight w:val="none"/>
        </w:rPr>
        <w:t>组成拆旧项目区，通过建新拆旧和土地整理复垦等措施，在保证项目区内各类土地面积平衡的基础上，最终实现增加</w:t>
      </w:r>
      <w:r>
        <w:rPr>
          <w:rFonts w:hint="eastAsia"/>
          <w:color w:val="auto"/>
          <w:highlight w:val="none"/>
          <w:lang w:val="en-US" w:eastAsia="zh-CN"/>
        </w:rPr>
        <w:t>农用地</w:t>
      </w:r>
      <w:r>
        <w:rPr>
          <w:rFonts w:hint="eastAsia"/>
          <w:color w:val="auto"/>
          <w:highlight w:val="none"/>
        </w:rPr>
        <w:t>有效面积，提高耕地质量，节约集约利用建设用地，城乡用地布局更合理的目标，拆旧区是指拟拆除的拆旧地块，包括可整理复垦的农村居民点、场、矿、交通水利设施等用地</w:t>
      </w:r>
      <w:r>
        <w:rPr>
          <w:rFonts w:hint="eastAsia"/>
          <w:color w:val="auto"/>
          <w:highlight w:val="none"/>
          <w:lang w:eastAsia="zh-CN"/>
        </w:rPr>
        <w:t>。</w:t>
      </w:r>
    </w:p>
    <w:p>
      <w:pPr>
        <w:bidi w:val="0"/>
        <w:ind w:firstLine="560" w:firstLineChars="200"/>
        <w:rPr>
          <w:rFonts w:hint="eastAsia" w:ascii="仿宋_GB2312" w:hAnsi="仿宋_GB2312" w:eastAsia="仿宋_GB2312" w:cs="仿宋_GB2312"/>
          <w:color w:val="auto"/>
          <w:szCs w:val="28"/>
          <w:highlight w:val="none"/>
        </w:rPr>
      </w:pPr>
      <w:r>
        <w:rPr>
          <w:rFonts w:hint="default"/>
          <w:color w:val="auto"/>
          <w:highlight w:val="none"/>
          <w:lang w:val="en-US" w:eastAsia="zh-CN"/>
        </w:rPr>
        <w:t>为切实发挥内蒙古自治区土地资源优势，充分挖掘土地资源潜力，全面促进土地资源节约集约利用，有效激活土地资源资产价值。</w:t>
      </w:r>
      <w:r>
        <w:rPr>
          <w:rFonts w:hint="eastAsia"/>
          <w:color w:val="auto"/>
          <w:highlight w:val="none"/>
          <w:lang w:val="en-US" w:eastAsia="zh-CN"/>
        </w:rPr>
        <w:t>根据</w:t>
      </w:r>
      <w:r>
        <w:rPr>
          <w:rFonts w:hint="default"/>
          <w:color w:val="auto"/>
          <w:highlight w:val="none"/>
          <w:lang w:val="en-US" w:eastAsia="zh-CN"/>
        </w:rPr>
        <w:t>《</w:t>
      </w:r>
      <w:r>
        <w:rPr>
          <w:rFonts w:hint="eastAsia"/>
          <w:color w:val="auto"/>
          <w:highlight w:val="none"/>
          <w:lang w:val="en-US" w:eastAsia="zh-CN"/>
        </w:rPr>
        <w:t>内蒙古</w:t>
      </w:r>
      <w:r>
        <w:rPr>
          <w:rFonts w:hint="default"/>
          <w:color w:val="auto"/>
          <w:highlight w:val="none"/>
          <w:lang w:val="en-US" w:eastAsia="zh-CN"/>
        </w:rPr>
        <w:t>自治区党委政府</w:t>
      </w:r>
      <w:r>
        <w:rPr>
          <w:rFonts w:hint="default" w:ascii="Times New Roman" w:hAnsi="Times New Roman" w:cs="Times New Roman"/>
          <w:color w:val="auto"/>
          <w:highlight w:val="none"/>
          <w:lang w:val="en-US" w:eastAsia="zh-CN"/>
        </w:rPr>
        <w:t>印发</w:t>
      </w:r>
      <w:r>
        <w:rPr>
          <w:rFonts w:hint="default"/>
          <w:color w:val="auto"/>
          <w:highlight w:val="none"/>
          <w:lang w:val="en-US" w:eastAsia="zh-CN"/>
        </w:rPr>
        <w:t>关于深化土地综合整治促进高质量发展的指导意见》（内党发〔2022〕18号）</w:t>
      </w:r>
      <w:r>
        <w:rPr>
          <w:rFonts w:hint="eastAsia"/>
          <w:color w:val="auto"/>
          <w:highlight w:val="none"/>
          <w:lang w:val="en-US" w:eastAsia="zh-CN"/>
        </w:rPr>
        <w:t>、</w:t>
      </w:r>
      <w:r>
        <w:rPr>
          <w:rFonts w:hint="default"/>
          <w:color w:val="auto"/>
          <w:highlight w:val="none"/>
          <w:lang w:val="en-US" w:eastAsia="zh-CN"/>
        </w:rPr>
        <w:t>《</w:t>
      </w:r>
      <w:r>
        <w:rPr>
          <w:rFonts w:hint="eastAsia"/>
          <w:color w:val="auto"/>
          <w:highlight w:val="none"/>
          <w:lang w:val="en-US" w:eastAsia="zh-CN"/>
        </w:rPr>
        <w:t>内蒙古</w:t>
      </w:r>
      <w:r>
        <w:rPr>
          <w:rFonts w:hint="default"/>
          <w:color w:val="auto"/>
          <w:highlight w:val="none"/>
          <w:lang w:val="en-US" w:eastAsia="zh-CN"/>
        </w:rPr>
        <w:t>自治区人民政府印发自治区深化土地综合整治促进高质量发展实施方案的通知》（内政发〔2022〕21号）</w:t>
      </w:r>
      <w:r>
        <w:rPr>
          <w:rFonts w:hint="eastAsia"/>
          <w:color w:val="auto"/>
          <w:highlight w:val="none"/>
          <w:lang w:val="en-US" w:eastAsia="zh-CN"/>
        </w:rPr>
        <w:t>、</w:t>
      </w:r>
      <w:r>
        <w:rPr>
          <w:rFonts w:hint="default"/>
          <w:color w:val="auto"/>
          <w:highlight w:val="none"/>
          <w:lang w:val="en-US" w:eastAsia="zh-CN"/>
        </w:rPr>
        <w:t>《内蒙古自治区自然资源厅关于进一步规范和完善城乡建设用地增减挂钩项目实施管理工作的通知》（内自然资字〔2019〕519号）</w:t>
      </w:r>
      <w:r>
        <w:rPr>
          <w:rFonts w:hint="eastAsia"/>
          <w:color w:val="auto"/>
          <w:highlight w:val="none"/>
          <w:lang w:val="en-US" w:eastAsia="zh-CN"/>
        </w:rPr>
        <w:t>、</w:t>
      </w:r>
      <w:r>
        <w:rPr>
          <w:rFonts w:hint="default"/>
          <w:color w:val="auto"/>
          <w:highlight w:val="none"/>
          <w:lang w:val="en-US" w:eastAsia="zh-CN"/>
        </w:rPr>
        <w:t>《内蒙古自治区自然资源厅关于印发内蒙古自治区城乡建设用地增减挂钩实施细则（试行）的通知》（内自然资字〔2022〕354号）</w:t>
      </w:r>
      <w:r>
        <w:rPr>
          <w:rFonts w:hint="eastAsia"/>
          <w:color w:val="auto"/>
          <w:highlight w:val="none"/>
          <w:lang w:val="en-US" w:eastAsia="zh-CN"/>
        </w:rPr>
        <w:t>、</w:t>
      </w:r>
      <w:r>
        <w:rPr>
          <w:rFonts w:hint="default"/>
          <w:color w:val="auto"/>
          <w:highlight w:val="none"/>
          <w:lang w:val="en-US" w:eastAsia="zh-CN"/>
        </w:rPr>
        <w:t>《</w:t>
      </w:r>
      <w:r>
        <w:rPr>
          <w:rFonts w:hint="eastAsia"/>
          <w:color w:val="auto"/>
          <w:highlight w:val="none"/>
          <w:lang w:val="en-US" w:eastAsia="zh-CN"/>
        </w:rPr>
        <w:t>内蒙古</w:t>
      </w:r>
      <w:r>
        <w:rPr>
          <w:rFonts w:hint="default"/>
          <w:color w:val="auto"/>
          <w:highlight w:val="none"/>
          <w:lang w:val="en-US" w:eastAsia="zh-CN"/>
        </w:rPr>
        <w:t>自治区自然资源厅印发</w:t>
      </w:r>
      <w:r>
        <w:rPr>
          <w:rFonts w:hint="eastAsia"/>
          <w:color w:val="auto"/>
          <w:highlight w:val="none"/>
          <w:lang w:val="en-US" w:eastAsia="zh-CN"/>
        </w:rPr>
        <w:t>关于</w:t>
      </w:r>
      <w:r>
        <w:rPr>
          <w:rFonts w:hint="default"/>
          <w:color w:val="auto"/>
          <w:highlight w:val="none"/>
          <w:lang w:val="en-US" w:eastAsia="zh-CN"/>
        </w:rPr>
        <w:t>内蒙古自治区土地综合整治和规划建设用地规模指标统筹管理办法的通知》</w:t>
      </w:r>
      <w:r>
        <w:rPr>
          <w:rFonts w:hint="eastAsia"/>
          <w:color w:val="auto"/>
          <w:highlight w:val="none"/>
          <w:lang w:val="en-US" w:eastAsia="zh-CN"/>
        </w:rPr>
        <w:t>（</w:t>
      </w:r>
      <w:r>
        <w:rPr>
          <w:rFonts w:hint="default"/>
          <w:color w:val="auto"/>
          <w:highlight w:val="none"/>
          <w:lang w:val="en-US" w:eastAsia="zh-CN"/>
        </w:rPr>
        <w:t>内自然资字〔2022〕357号）</w:t>
      </w:r>
      <w:r>
        <w:rPr>
          <w:rFonts w:hint="eastAsia"/>
          <w:color w:val="auto"/>
          <w:highlight w:val="none"/>
          <w:lang w:val="en-US" w:eastAsia="zh-CN"/>
        </w:rPr>
        <w:t>、</w:t>
      </w:r>
      <w:r>
        <w:rPr>
          <w:rFonts w:hint="default"/>
          <w:color w:val="auto"/>
          <w:highlight w:val="none"/>
          <w:lang w:val="en-US" w:eastAsia="zh-CN"/>
        </w:rPr>
        <w:t>《</w:t>
      </w:r>
      <w:r>
        <w:rPr>
          <w:rFonts w:hint="eastAsia"/>
          <w:color w:val="auto"/>
          <w:highlight w:val="none"/>
          <w:lang w:val="en-US" w:eastAsia="zh-CN"/>
        </w:rPr>
        <w:t>内蒙古</w:t>
      </w:r>
      <w:r>
        <w:rPr>
          <w:rFonts w:hint="default"/>
          <w:color w:val="auto"/>
          <w:highlight w:val="none"/>
          <w:lang w:val="en-US" w:eastAsia="zh-CN"/>
        </w:rPr>
        <w:t>自治区自然资源厅关于深化农村土地综合整治全面促进耕地保护利用的实施意见的通知》（内自然资字〔2022〕358号）</w:t>
      </w:r>
      <w:r>
        <w:rPr>
          <w:rFonts w:hint="eastAsia"/>
          <w:color w:val="auto"/>
          <w:highlight w:val="none"/>
          <w:lang w:val="en-US" w:eastAsia="zh-CN"/>
        </w:rPr>
        <w:t>和《</w:t>
      </w:r>
      <w:r>
        <w:rPr>
          <w:rFonts w:hint="default"/>
          <w:color w:val="auto"/>
          <w:highlight w:val="none"/>
          <w:lang w:val="en-US" w:eastAsia="zh-CN"/>
        </w:rPr>
        <w:t>内蒙古自治区自然资源厅关于下达2023年度城乡建设用地增减挂钩建设任务及报送2022年度任务完成情况的通知》（内自然资字〔2023〕51号）</w:t>
      </w:r>
      <w:r>
        <w:rPr>
          <w:rFonts w:hint="eastAsia"/>
          <w:color w:val="auto"/>
          <w:highlight w:val="none"/>
          <w:lang w:val="en-US" w:eastAsia="zh-CN"/>
        </w:rPr>
        <w:t>文件要求和工作部署，</w:t>
      </w:r>
      <w:r>
        <w:rPr>
          <w:rFonts w:hint="eastAsia"/>
          <w:color w:val="auto"/>
          <w:highlight w:val="none"/>
        </w:rPr>
        <w:t>在符合《</w:t>
      </w:r>
      <w:r>
        <w:rPr>
          <w:rFonts w:hint="eastAsia"/>
          <w:color w:val="auto"/>
          <w:highlight w:val="none"/>
          <w:lang w:val="en-US" w:eastAsia="zh-CN"/>
        </w:rPr>
        <w:t>和林格尔县村庄</w:t>
      </w:r>
      <w:r>
        <w:rPr>
          <w:rFonts w:hint="eastAsia"/>
          <w:color w:val="auto"/>
          <w:highlight w:val="none"/>
        </w:rPr>
        <w:t>总体规划（2021-2035年）》的基础上，</w:t>
      </w:r>
      <w:r>
        <w:rPr>
          <w:rFonts w:hint="eastAsia"/>
          <w:color w:val="auto"/>
          <w:highlight w:val="none"/>
          <w:lang w:eastAsia="zh-CN"/>
        </w:rPr>
        <w:t>和林格尔县</w:t>
      </w:r>
      <w:r>
        <w:rPr>
          <w:rFonts w:hint="eastAsia"/>
          <w:color w:val="auto"/>
          <w:highlight w:val="none"/>
        </w:rPr>
        <w:t>自然资源局</w:t>
      </w:r>
      <w:r>
        <w:rPr>
          <w:rFonts w:hint="eastAsia"/>
          <w:color w:val="auto"/>
          <w:highlight w:val="none"/>
          <w:lang w:val="en-US" w:eastAsia="zh-CN"/>
        </w:rPr>
        <w:t>结合县实际，在土地开发复垦整理成功经验工作的基础上，从全县特有的经济社会条件和自然情况出发，根据长远发展需要，在不破坏生态环境的前提下，合理安排拆旧复垦规模，</w:t>
      </w:r>
      <w:r>
        <w:rPr>
          <w:rFonts w:hint="eastAsia"/>
          <w:color w:val="auto"/>
          <w:highlight w:val="none"/>
        </w:rPr>
        <w:t>组织技术单位编制</w:t>
      </w:r>
      <w:r>
        <w:rPr>
          <w:rFonts w:hint="eastAsia" w:ascii="Times New Roman" w:hAnsi="Times New Roman" w:cs="Times New Roman"/>
          <w:color w:val="auto"/>
          <w:highlight w:val="none"/>
          <w:lang w:val="en-US" w:eastAsia="zh-CN"/>
        </w:rPr>
        <w:t>《和林格尔县2025年城乡建设用地增减挂钩巧什营镇项目区实施方案》。</w:t>
      </w:r>
    </w:p>
    <w:p>
      <w:pPr>
        <w:pStyle w:val="3"/>
        <w:bidi w:val="0"/>
        <w:rPr>
          <w:highlight w:val="none"/>
        </w:rPr>
      </w:pPr>
      <w:bookmarkStart w:id="20" w:name="_Toc13136"/>
      <w:bookmarkStart w:id="21" w:name="_Toc26496"/>
      <w:bookmarkStart w:id="22" w:name="_Toc16547"/>
      <w:r>
        <w:rPr>
          <w:highlight w:val="none"/>
        </w:rPr>
        <w:t>1.2 目的</w:t>
      </w:r>
      <w:bookmarkEnd w:id="14"/>
      <w:bookmarkEnd w:id="15"/>
      <w:bookmarkEnd w:id="16"/>
      <w:bookmarkEnd w:id="17"/>
      <w:bookmarkEnd w:id="18"/>
      <w:r>
        <w:rPr>
          <w:highlight w:val="none"/>
        </w:rPr>
        <w:t>意义</w:t>
      </w:r>
      <w:bookmarkEnd w:id="19"/>
      <w:bookmarkEnd w:id="20"/>
      <w:bookmarkEnd w:id="21"/>
      <w:bookmarkEnd w:id="22"/>
    </w:p>
    <w:p>
      <w:pPr>
        <w:bidi w:val="0"/>
        <w:ind w:firstLine="560" w:firstLineChars="200"/>
        <w:rPr>
          <w:rFonts w:hint="eastAsia"/>
          <w:color w:val="auto"/>
          <w:highlight w:val="none"/>
        </w:rPr>
      </w:pPr>
      <w:bookmarkStart w:id="23" w:name="_Toc13954"/>
      <w:r>
        <w:rPr>
          <w:color w:val="auto"/>
          <w:highlight w:val="none"/>
        </w:rPr>
        <w:t>通过城乡建设用地增减挂钩项目的实施，可以积极盘活“空心村”、农村闲置宅基地，有效缓解用地供需矛盾，拓展城镇建设用地空间；加强对农村建设用地复垦，增加农民耕种面积</w:t>
      </w:r>
      <w:r>
        <w:rPr>
          <w:rFonts w:hint="eastAsia"/>
          <w:color w:val="auto"/>
          <w:highlight w:val="none"/>
          <w:lang w:val="en-US" w:eastAsia="zh-CN"/>
        </w:rPr>
        <w:t>与草地面积</w:t>
      </w:r>
      <w:r>
        <w:rPr>
          <w:color w:val="auto"/>
          <w:highlight w:val="none"/>
        </w:rPr>
        <w:t>，提高农民收入，确保粮食安全；提高土地节约集约利用程度，促进土地资源可持续利用</w:t>
      </w:r>
      <w:r>
        <w:rPr>
          <w:rFonts w:hint="eastAsia"/>
          <w:color w:val="auto"/>
          <w:highlight w:val="none"/>
        </w:rPr>
        <w:t>。</w:t>
      </w:r>
    </w:p>
    <w:p>
      <w:pPr>
        <w:bidi w:val="0"/>
        <w:ind w:firstLine="560" w:firstLineChars="200"/>
        <w:rPr>
          <w:color w:val="auto"/>
          <w:highlight w:val="none"/>
        </w:rPr>
      </w:pPr>
      <w:r>
        <w:rPr>
          <w:color w:val="auto"/>
          <w:highlight w:val="none"/>
          <w:lang w:val="en-US" w:eastAsia="zh-CN"/>
        </w:rPr>
        <w:t>本项目主要目的是为了推动乡村振兴行动、</w:t>
      </w:r>
      <w:r>
        <w:rPr>
          <w:rFonts w:hint="eastAsia"/>
          <w:color w:val="auto"/>
          <w:highlight w:val="none"/>
          <w:lang w:val="en-US" w:eastAsia="zh-CN"/>
        </w:rPr>
        <w:t>促进城乡一体化发展。实施城乡建设用地增减挂钩项目是在盘活农村闲置土地的同时还可以减轻和林格尔县乡村振兴资金的压力，推动地区经济社会发展，提高地区的农牧民生活质量。</w:t>
      </w:r>
    </w:p>
    <w:p>
      <w:pPr>
        <w:pStyle w:val="3"/>
        <w:bidi w:val="0"/>
        <w:rPr>
          <w:highlight w:val="none"/>
        </w:rPr>
      </w:pPr>
      <w:bookmarkStart w:id="24" w:name="_Toc28279"/>
      <w:bookmarkStart w:id="25" w:name="_Toc15393"/>
      <w:bookmarkStart w:id="26" w:name="_Toc26991"/>
      <w:r>
        <w:rPr>
          <w:highlight w:val="none"/>
        </w:rPr>
        <w:t>1.3 指导思想</w:t>
      </w:r>
      <w:bookmarkEnd w:id="23"/>
      <w:bookmarkEnd w:id="24"/>
      <w:bookmarkEnd w:id="25"/>
      <w:bookmarkEnd w:id="26"/>
    </w:p>
    <w:p>
      <w:pPr>
        <w:bidi w:val="0"/>
        <w:ind w:firstLine="560" w:firstLineChars="200"/>
        <w:rPr>
          <w:color w:val="auto"/>
          <w:highlight w:val="none"/>
        </w:rPr>
      </w:pPr>
      <w:bookmarkStart w:id="27" w:name="_Toc2186"/>
      <w:bookmarkStart w:id="28" w:name="_Toc363651279"/>
      <w:bookmarkStart w:id="29" w:name="_Toc363651194"/>
      <w:bookmarkStart w:id="30" w:name="_Toc363651363"/>
      <w:r>
        <w:rPr>
          <w:color w:val="auto"/>
          <w:highlight w:val="none"/>
        </w:rPr>
        <w:t>坚持以习近平新时代中国特色社会主义思想为指导，全面贯彻党的二十大精神，全面落实习近平总书记对内蒙古重要讲话重要指示批示精神，完整、准确、全面贯彻新发展理念，以习近平总书记关于严格保护耕地、保障粮食安全重要论述和习近平生态文明思想为指导，认真落实自治区《关于深化土地综合整治促进高质量发展的指导意见》（内</w:t>
      </w:r>
      <w:r>
        <w:rPr>
          <w:rFonts w:hint="eastAsia"/>
          <w:color w:val="auto"/>
          <w:highlight w:val="none"/>
        </w:rPr>
        <w:t>党</w:t>
      </w:r>
      <w:r>
        <w:rPr>
          <w:color w:val="auto"/>
          <w:highlight w:val="none"/>
        </w:rPr>
        <w:t>发〔2022〕</w:t>
      </w:r>
      <w:r>
        <w:rPr>
          <w:rFonts w:hint="eastAsia"/>
          <w:color w:val="auto"/>
          <w:highlight w:val="none"/>
        </w:rPr>
        <w:t>18</w:t>
      </w:r>
      <w:r>
        <w:rPr>
          <w:color w:val="auto"/>
          <w:highlight w:val="none"/>
        </w:rPr>
        <w:t>号）和《自治区深化土地综合整治促进高质量发展实施方案》（内政发〔2022〕</w:t>
      </w:r>
      <w:r>
        <w:rPr>
          <w:rFonts w:hint="eastAsia"/>
          <w:color w:val="auto"/>
          <w:highlight w:val="none"/>
        </w:rPr>
        <w:t>5</w:t>
      </w:r>
      <w:r>
        <w:rPr>
          <w:color w:val="auto"/>
          <w:highlight w:val="none"/>
        </w:rPr>
        <w:t>1号）的总体要求，坚持最严格的耕地保护和节约集约用地制度，严守生态保护红线。以《</w:t>
      </w:r>
      <w:r>
        <w:rPr>
          <w:rFonts w:hint="eastAsia"/>
          <w:color w:val="auto"/>
          <w:highlight w:val="none"/>
          <w:lang w:val="en-US" w:eastAsia="zh-CN"/>
        </w:rPr>
        <w:t>和林格尔县</w:t>
      </w:r>
      <w:r>
        <w:rPr>
          <w:rFonts w:hint="eastAsia"/>
          <w:color w:val="auto"/>
          <w:highlight w:val="none"/>
          <w:lang w:eastAsia="zh-CN"/>
        </w:rPr>
        <w:t>村庄</w:t>
      </w:r>
      <w:r>
        <w:rPr>
          <w:color w:val="auto"/>
          <w:highlight w:val="none"/>
        </w:rPr>
        <w:t>总体规划（2021-2035年）》为基础，充分利用城乡建设用地增减挂钩政策，全面推进农村建设用地综合整治，有序开展“空心村”、农村闲置宅基地闲置建设用地拆旧复垦，腾退建设用地指标，增加有效</w:t>
      </w:r>
      <w:r>
        <w:rPr>
          <w:rFonts w:hint="eastAsia"/>
          <w:color w:val="auto"/>
          <w:highlight w:val="none"/>
          <w:lang w:val="en-US" w:eastAsia="zh-CN"/>
        </w:rPr>
        <w:t>农用地</w:t>
      </w:r>
      <w:r>
        <w:rPr>
          <w:color w:val="auto"/>
          <w:highlight w:val="none"/>
        </w:rPr>
        <w:t>面积，充分发挥复垦土地农业利用价值和生态功能，为乡村振兴提供土地要素保障。</w:t>
      </w:r>
    </w:p>
    <w:p>
      <w:pPr>
        <w:bidi w:val="0"/>
        <w:ind w:firstLine="560" w:firstLineChars="200"/>
        <w:rPr>
          <w:color w:val="auto"/>
          <w:highlight w:val="none"/>
        </w:rPr>
      </w:pPr>
      <w:r>
        <w:rPr>
          <w:rFonts w:hint="eastAsia"/>
          <w:color w:val="auto"/>
          <w:highlight w:val="none"/>
        </w:rPr>
        <w:t>二十大报告指出，大自然是人类赖以生存发展的基本条件。尊重自然、顺应自然、保护自然，是全面建设社会主义现代化国家的内在要求。必须牢固树立和践行绿水青山就是金山银山的理念，站在人与自然和谐共生的高度谋划发展。二十大代表、各地干部群众表示：在全面建成社会主义现代化强国的新征程上，要以更大的责任和担当，推动绿色发展，促进人与自然和谐共生。以全域土地综合整治为基本载体和重要抓手，因地制宜、因村施策，坚持人口资源环境相均衡、经济社会生态效益相统一，分类开展整治，打造集约高效的生产空间，营造宜居适度的生活空间，保护山清水秀的生态空间。绿水青山就是金山银山，贯彻创新、协调、绿色、开放、共享的发展理念，加快形成节约资源和保护环境的空间格局、产业结构、生产方式、生活方式，给自然生态留下休养生息的时间和空间。</w:t>
      </w:r>
    </w:p>
    <w:p>
      <w:pPr>
        <w:pStyle w:val="3"/>
        <w:bidi w:val="0"/>
        <w:rPr>
          <w:highlight w:val="none"/>
        </w:rPr>
      </w:pPr>
      <w:bookmarkStart w:id="31" w:name="_Toc24498"/>
      <w:bookmarkStart w:id="32" w:name="_Toc29738"/>
      <w:bookmarkStart w:id="33" w:name="_Toc62"/>
      <w:r>
        <w:rPr>
          <w:highlight w:val="none"/>
        </w:rPr>
        <w:t>1.4 基本原则</w:t>
      </w:r>
      <w:bookmarkEnd w:id="27"/>
      <w:bookmarkEnd w:id="31"/>
      <w:bookmarkEnd w:id="32"/>
      <w:bookmarkEnd w:id="33"/>
    </w:p>
    <w:p>
      <w:pPr>
        <w:bidi w:val="0"/>
        <w:ind w:firstLine="560" w:firstLineChars="200"/>
        <w:rPr>
          <w:color w:val="auto"/>
          <w:highlight w:val="none"/>
        </w:rPr>
      </w:pPr>
      <w:r>
        <w:rPr>
          <w:color w:val="auto"/>
          <w:highlight w:val="none"/>
        </w:rPr>
        <w:t>坚持依法、自愿的原则，按照“总量控制、封闭运行、定期考核、到期归还”的要求，严格管理。以支持巩固脱贫攻坚成果、实施乡村振兴战略、构建和谐社会为统领，坚持以改善农村生产和生活条件为目标，以优化建设用地结构与布局和节约集约用地为重点，以保护资源、保障权益为出发点和落脚点。</w:t>
      </w:r>
    </w:p>
    <w:p>
      <w:pPr>
        <w:bidi w:val="0"/>
        <w:rPr>
          <w:b/>
          <w:bCs/>
          <w:color w:val="auto"/>
          <w:highlight w:val="none"/>
        </w:rPr>
      </w:pPr>
      <w:r>
        <w:rPr>
          <w:rFonts w:hint="eastAsia"/>
          <w:b/>
          <w:bCs/>
          <w:color w:val="auto"/>
          <w:highlight w:val="none"/>
          <w:lang w:val="en-US" w:eastAsia="zh-CN"/>
        </w:rPr>
        <w:t>1</w:t>
      </w:r>
      <w:r>
        <w:rPr>
          <w:b/>
          <w:bCs/>
          <w:color w:val="auto"/>
          <w:highlight w:val="none"/>
        </w:rPr>
        <w:t>、生态优先，绿色发展</w:t>
      </w:r>
    </w:p>
    <w:p>
      <w:pPr>
        <w:bidi w:val="0"/>
        <w:ind w:firstLine="560" w:firstLineChars="200"/>
        <w:rPr>
          <w:color w:val="auto"/>
          <w:highlight w:val="none"/>
        </w:rPr>
      </w:pPr>
      <w:r>
        <w:rPr>
          <w:color w:val="auto"/>
          <w:highlight w:val="none"/>
        </w:rPr>
        <w:t>落实最严格的耕地保护制度、节约用地制度和生态环境保护制度，加强国土空间规划和年度计划统筹管控。将分散的居民点规划集中居住，实现传统自然形态向规划形态的转变，将农村基础设施与城镇发展相结合，在缓解城镇建设用地需求的同时也改变了农村风貌和生态环境，通过增减挂钩实现农用地资源的集中连片，实现集约化、规模化利用，逐步实现向绿色发展方式和生活方式的转变。</w:t>
      </w:r>
    </w:p>
    <w:p>
      <w:pPr>
        <w:bidi w:val="0"/>
        <w:ind w:firstLine="1044"/>
        <w:rPr>
          <w:rFonts w:ascii="Times New Roman" w:hAnsi="Times New Roman" w:cs="Times New Roman"/>
          <w:b/>
          <w:bCs/>
          <w:color w:val="auto"/>
          <w:highlight w:val="none"/>
        </w:rPr>
      </w:pPr>
      <w:r>
        <w:rPr>
          <w:rFonts w:hint="eastAsia" w:ascii="Times New Roman" w:hAnsi="Times New Roman" w:cs="Times New Roman"/>
          <w:b/>
          <w:bCs/>
          <w:color w:val="auto"/>
          <w:highlight w:val="none"/>
          <w:lang w:val="en-US" w:eastAsia="zh-CN"/>
        </w:rPr>
        <w:t>2</w:t>
      </w:r>
      <w:r>
        <w:rPr>
          <w:rFonts w:ascii="Times New Roman" w:hAnsi="Times New Roman" w:cs="Times New Roman"/>
          <w:b/>
          <w:bCs/>
          <w:color w:val="auto"/>
          <w:highlight w:val="none"/>
        </w:rPr>
        <w:t>、尽力而为，量力而行</w:t>
      </w:r>
    </w:p>
    <w:p>
      <w:pPr>
        <w:bidi w:val="0"/>
        <w:ind w:firstLine="560" w:firstLineChars="200"/>
        <w:rPr>
          <w:color w:val="auto"/>
          <w:highlight w:val="none"/>
        </w:rPr>
      </w:pPr>
      <w:r>
        <w:rPr>
          <w:color w:val="auto"/>
          <w:highlight w:val="none"/>
        </w:rPr>
        <w:t>要把决胜全面小康、实现共同富裕摆在更加突出的位置，落实好帮扶责任。要把握地域差异，注重保护历史文化和自然风貌，因地制宜实施复垦。充分尊重农民群众意愿，按照法律法规和政策进行补助安置，切实保障农民土地合法权益和农村建设用地需求，防止盲目推进，维护社会稳定。</w:t>
      </w:r>
    </w:p>
    <w:p>
      <w:pPr>
        <w:bidi w:val="0"/>
        <w:ind w:firstLine="1044"/>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3、突出重点，分步实施</w:t>
      </w:r>
    </w:p>
    <w:p>
      <w:pPr>
        <w:bidi w:val="0"/>
        <w:ind w:firstLine="560" w:firstLineChars="200"/>
        <w:rPr>
          <w:color w:val="auto"/>
          <w:highlight w:val="none"/>
        </w:rPr>
      </w:pPr>
      <w:r>
        <w:rPr>
          <w:color w:val="auto"/>
          <w:highlight w:val="none"/>
        </w:rPr>
        <w:t>要坚持从本地实际情况出发，优先选择工作基础较好，有一定经济基础和资金保障能力的地区开展挂钩工作，做好年度计划，分步实施。</w:t>
      </w:r>
    </w:p>
    <w:p>
      <w:pPr>
        <w:bidi w:val="0"/>
        <w:ind w:firstLine="1044"/>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4、因地制宜，指标流转</w:t>
      </w:r>
    </w:p>
    <w:p>
      <w:pPr>
        <w:bidi w:val="0"/>
        <w:ind w:firstLine="560" w:firstLineChars="200"/>
        <w:rPr>
          <w:color w:val="auto"/>
          <w:highlight w:val="none"/>
        </w:rPr>
      </w:pPr>
      <w:r>
        <w:rPr>
          <w:color w:val="auto"/>
          <w:highlight w:val="none"/>
        </w:rPr>
        <w:t>农民住宅迁建房向中心村和乡镇集中，建新拆旧要充分考虑与当地风格和生态环境相协调，与建设、水利、交通等部门配合搞好规划设计，完善配套设施。拆旧区在确保耕地面积不减少、建设用地不增加的前提下，可按照宜耕则耕、宜林则林、宜草则草的原则复垦。项目区实施方案批准后，可按规定预先使用或交易一定比例的增减挂钩节余指标。</w:t>
      </w:r>
    </w:p>
    <w:p>
      <w:pPr>
        <w:pStyle w:val="3"/>
        <w:bidi w:val="0"/>
        <w:rPr>
          <w:highlight w:val="none"/>
        </w:rPr>
      </w:pPr>
      <w:bookmarkStart w:id="34" w:name="_Toc32637"/>
      <w:bookmarkStart w:id="35" w:name="_Toc6438"/>
      <w:bookmarkStart w:id="36" w:name="_Toc16588"/>
      <w:bookmarkStart w:id="37" w:name="_Toc8731"/>
      <w:r>
        <w:rPr>
          <w:highlight w:val="none"/>
        </w:rPr>
        <w:t>1.5 方案编制任务</w:t>
      </w:r>
      <w:bookmarkEnd w:id="28"/>
      <w:bookmarkEnd w:id="29"/>
      <w:bookmarkEnd w:id="30"/>
      <w:bookmarkEnd w:id="34"/>
      <w:bookmarkEnd w:id="35"/>
      <w:bookmarkEnd w:id="36"/>
      <w:bookmarkEnd w:id="37"/>
    </w:p>
    <w:p>
      <w:pPr>
        <w:bidi w:val="0"/>
        <w:ind w:firstLine="560" w:firstLineChars="200"/>
        <w:rPr>
          <w:color w:val="auto"/>
          <w:highlight w:val="none"/>
        </w:rPr>
      </w:pPr>
      <w:bookmarkStart w:id="38" w:name="_Toc518313574"/>
      <w:bookmarkStart w:id="39" w:name="_Toc519008885"/>
      <w:bookmarkStart w:id="40" w:name="_Toc363651198"/>
      <w:bookmarkStart w:id="41" w:name="_Toc363651283"/>
      <w:bookmarkStart w:id="42" w:name="_Toc363651367"/>
      <w:r>
        <w:rPr>
          <w:color w:val="auto"/>
          <w:highlight w:val="none"/>
        </w:rPr>
        <w:t>1、深入分析项目区复垦基础条件、复垦潜力和制约因素；开展拆旧复垦地块的土地适宜性评价等相关工作。调查</w:t>
      </w:r>
      <w:r>
        <w:rPr>
          <w:rFonts w:hint="eastAsia"/>
          <w:color w:val="auto"/>
          <w:highlight w:val="none"/>
          <w:lang w:eastAsia="zh-CN"/>
        </w:rPr>
        <w:t>和林格尔县</w:t>
      </w:r>
      <w:r>
        <w:rPr>
          <w:color w:val="auto"/>
          <w:highlight w:val="none"/>
        </w:rPr>
        <w:t>增减挂钩涉及地块的自然、经济、社会状况；调查开展城乡建设用地增减挂钩地区的农民意愿；调查拆旧复垦地块地类、位置、面积、权属、范围。</w:t>
      </w:r>
    </w:p>
    <w:p>
      <w:pPr>
        <w:bidi w:val="0"/>
        <w:ind w:firstLine="560" w:firstLineChars="200"/>
        <w:rPr>
          <w:rFonts w:eastAsia="仿宋_GB2312"/>
          <w:color w:val="auto"/>
          <w:szCs w:val="28"/>
          <w:highlight w:val="none"/>
        </w:rPr>
      </w:pPr>
      <w:r>
        <w:rPr>
          <w:color w:val="auto"/>
          <w:highlight w:val="none"/>
        </w:rPr>
        <w:t>2、准确确定拆旧区地块位置、范围和面积，明确项目区拆旧复垦建设的实施时序。</w:t>
      </w:r>
    </w:p>
    <w:p>
      <w:pPr>
        <w:bidi w:val="0"/>
        <w:ind w:firstLine="560" w:firstLineChars="200"/>
        <w:rPr>
          <w:color w:val="auto"/>
          <w:highlight w:val="none"/>
        </w:rPr>
      </w:pPr>
      <w:r>
        <w:rPr>
          <w:color w:val="auto"/>
          <w:highlight w:val="none"/>
        </w:rPr>
        <w:t>3、制订拆旧区拆迁补偿、土地权属调整、土地收益分配等有关方案。</w:t>
      </w:r>
    </w:p>
    <w:p>
      <w:pPr>
        <w:bidi w:val="0"/>
        <w:ind w:firstLine="560" w:firstLineChars="200"/>
        <w:rPr>
          <w:color w:val="auto"/>
          <w:highlight w:val="none"/>
        </w:rPr>
      </w:pPr>
      <w:r>
        <w:rPr>
          <w:color w:val="auto"/>
          <w:highlight w:val="none"/>
        </w:rPr>
        <w:t>4、编制资金预算方案与资金筹措方案。</w:t>
      </w:r>
    </w:p>
    <w:p>
      <w:pPr>
        <w:bidi w:val="0"/>
        <w:ind w:firstLine="560" w:firstLineChars="200"/>
        <w:rPr>
          <w:color w:val="auto"/>
          <w:highlight w:val="none"/>
        </w:rPr>
      </w:pPr>
      <w:r>
        <w:rPr>
          <w:color w:val="auto"/>
          <w:highlight w:val="none"/>
        </w:rPr>
        <w:t>5、建立健全实施方案实施的保障措施。</w:t>
      </w:r>
    </w:p>
    <w:p>
      <w:pPr>
        <w:bidi w:val="0"/>
        <w:ind w:firstLine="560" w:firstLineChars="200"/>
        <w:rPr>
          <w:color w:val="auto"/>
          <w:highlight w:val="none"/>
        </w:rPr>
      </w:pPr>
      <w:r>
        <w:rPr>
          <w:color w:val="auto"/>
          <w:highlight w:val="none"/>
        </w:rPr>
        <w:t>6、开展实施方案所必需的民意调查、听证、论证、公示公告等工作。</w:t>
      </w:r>
    </w:p>
    <w:p>
      <w:pPr>
        <w:bidi w:val="0"/>
        <w:ind w:firstLine="560" w:firstLineChars="200"/>
        <w:rPr>
          <w:color w:val="auto"/>
          <w:highlight w:val="none"/>
        </w:rPr>
      </w:pPr>
      <w:r>
        <w:rPr>
          <w:color w:val="auto"/>
          <w:highlight w:val="none"/>
        </w:rPr>
        <w:t>7、编制实施方案相关图件等。</w:t>
      </w:r>
    </w:p>
    <w:p>
      <w:pPr>
        <w:bidi w:val="0"/>
        <w:ind w:firstLine="560" w:firstLineChars="200"/>
        <w:rPr>
          <w:color w:val="auto"/>
          <w:highlight w:val="none"/>
        </w:rPr>
      </w:pPr>
      <w:r>
        <w:rPr>
          <w:color w:val="auto"/>
          <w:highlight w:val="none"/>
        </w:rPr>
        <w:t>8、研究提出</w:t>
      </w:r>
      <w:r>
        <w:rPr>
          <w:rFonts w:hint="eastAsia"/>
          <w:color w:val="auto"/>
          <w:highlight w:val="none"/>
        </w:rPr>
        <w:t>增减</w:t>
      </w:r>
      <w:r>
        <w:rPr>
          <w:color w:val="auto"/>
          <w:highlight w:val="none"/>
        </w:rPr>
        <w:t>挂钩工作的组织方式、管理制度、技术措施和监管手段，为全面推进乡村振兴战略，提高地区农牧民生产生活水平。</w:t>
      </w:r>
    </w:p>
    <w:p>
      <w:pPr>
        <w:pStyle w:val="3"/>
        <w:bidi w:val="0"/>
        <w:rPr>
          <w:highlight w:val="none"/>
        </w:rPr>
      </w:pPr>
      <w:bookmarkStart w:id="43" w:name="_Toc3453"/>
      <w:bookmarkStart w:id="44" w:name="_Toc5469"/>
      <w:bookmarkStart w:id="45" w:name="_Toc30758"/>
      <w:r>
        <w:rPr>
          <w:highlight w:val="none"/>
        </w:rPr>
        <w:t>1.6 规划依据</w:t>
      </w:r>
      <w:bookmarkEnd w:id="38"/>
      <w:bookmarkEnd w:id="39"/>
      <w:bookmarkEnd w:id="43"/>
      <w:bookmarkEnd w:id="44"/>
      <w:bookmarkEnd w:id="45"/>
    </w:p>
    <w:bookmarkEnd w:id="40"/>
    <w:bookmarkEnd w:id="41"/>
    <w:bookmarkEnd w:id="42"/>
    <w:p>
      <w:pPr>
        <w:pStyle w:val="5"/>
        <w:bidi w:val="0"/>
        <w:rPr>
          <w:highlight w:val="none"/>
        </w:rPr>
      </w:pPr>
      <w:bookmarkStart w:id="46" w:name="_Toc17588"/>
      <w:r>
        <w:rPr>
          <w:highlight w:val="none"/>
        </w:rPr>
        <w:t xml:space="preserve">1.6.1 </w:t>
      </w:r>
      <w:r>
        <w:rPr>
          <w:rFonts w:hint="eastAsia"/>
          <w:highlight w:val="none"/>
          <w:lang w:val="en-US" w:eastAsia="zh-CN"/>
        </w:rPr>
        <w:t>法律和</w:t>
      </w:r>
      <w:r>
        <w:rPr>
          <w:highlight w:val="none"/>
        </w:rPr>
        <w:t>法规</w:t>
      </w:r>
    </w:p>
    <w:p>
      <w:pPr>
        <w:bidi w:val="0"/>
        <w:ind w:firstLine="560" w:firstLineChars="200"/>
        <w:rPr>
          <w:color w:val="auto"/>
          <w:highlight w:val="none"/>
        </w:rPr>
      </w:pPr>
      <w:r>
        <w:rPr>
          <w:color w:val="auto"/>
          <w:highlight w:val="none"/>
        </w:rPr>
        <w:t>（1）《中华人民共和国土地管理法》（</w:t>
      </w:r>
      <w:r>
        <w:rPr>
          <w:rFonts w:hint="eastAsia"/>
          <w:color w:val="auto"/>
          <w:highlight w:val="none"/>
          <w:lang w:val="en-US" w:eastAsia="zh-CN"/>
        </w:rPr>
        <w:t>2019</w:t>
      </w:r>
      <w:r>
        <w:rPr>
          <w:color w:val="auto"/>
          <w:highlight w:val="none"/>
        </w:rPr>
        <w:t>年修订）；</w:t>
      </w:r>
    </w:p>
    <w:p>
      <w:pPr>
        <w:bidi w:val="0"/>
        <w:ind w:firstLine="560" w:firstLineChars="200"/>
        <w:rPr>
          <w:color w:val="auto"/>
          <w:highlight w:val="none"/>
        </w:rPr>
      </w:pPr>
      <w:r>
        <w:rPr>
          <w:color w:val="auto"/>
          <w:highlight w:val="none"/>
        </w:rPr>
        <w:t>（2）《中华人民共和国土地管理法实施条例》（202</w:t>
      </w:r>
      <w:r>
        <w:rPr>
          <w:rFonts w:hint="eastAsia"/>
          <w:color w:val="auto"/>
          <w:highlight w:val="none"/>
        </w:rPr>
        <w:t>1</w:t>
      </w:r>
      <w:r>
        <w:rPr>
          <w:color w:val="auto"/>
          <w:highlight w:val="none"/>
        </w:rPr>
        <w:t>年修订）；</w:t>
      </w:r>
    </w:p>
    <w:p>
      <w:pPr>
        <w:bidi w:val="0"/>
        <w:ind w:firstLine="560" w:firstLineChars="200"/>
        <w:rPr>
          <w:color w:val="auto"/>
          <w:highlight w:val="none"/>
        </w:rPr>
      </w:pPr>
      <w:r>
        <w:rPr>
          <w:color w:val="auto"/>
          <w:highlight w:val="none"/>
        </w:rPr>
        <w:t>（</w:t>
      </w:r>
      <w:r>
        <w:rPr>
          <w:rFonts w:hint="eastAsia"/>
          <w:color w:val="auto"/>
          <w:highlight w:val="none"/>
          <w:lang w:val="en-US" w:eastAsia="zh-CN"/>
        </w:rPr>
        <w:t>3</w:t>
      </w:r>
      <w:r>
        <w:rPr>
          <w:color w:val="auto"/>
          <w:highlight w:val="none"/>
        </w:rPr>
        <w:t>）《土地复垦条例实施办法》（2019年修订）；</w:t>
      </w:r>
    </w:p>
    <w:p>
      <w:pPr>
        <w:bidi w:val="0"/>
        <w:ind w:firstLine="560" w:firstLineChars="200"/>
        <w:rPr>
          <w:rFonts w:hint="eastAsia"/>
          <w:color w:val="auto"/>
          <w:highlight w:val="none"/>
          <w:lang w:val="en-US" w:eastAsia="zh-CN"/>
        </w:rPr>
      </w:pPr>
      <w:r>
        <w:rPr>
          <w:color w:val="auto"/>
          <w:highlight w:val="none"/>
        </w:rPr>
        <w:t>（</w:t>
      </w:r>
      <w:r>
        <w:rPr>
          <w:rFonts w:hint="eastAsia"/>
          <w:color w:val="auto"/>
          <w:highlight w:val="none"/>
          <w:lang w:val="en-US" w:eastAsia="zh-CN"/>
        </w:rPr>
        <w:t>4</w:t>
      </w:r>
      <w:r>
        <w:rPr>
          <w:color w:val="auto"/>
          <w:highlight w:val="none"/>
        </w:rPr>
        <w:t>）</w:t>
      </w:r>
      <w:r>
        <w:rPr>
          <w:rFonts w:hint="eastAsia"/>
          <w:color w:val="auto"/>
          <w:highlight w:val="none"/>
          <w:lang w:val="en-US" w:eastAsia="zh-CN"/>
        </w:rPr>
        <w:t>《内蒙古自治区实施&lt;中华人民共和国土地管理法&gt;办法》</w:t>
      </w:r>
      <w:r>
        <w:rPr>
          <w:color w:val="auto"/>
          <w:highlight w:val="none"/>
        </w:rPr>
        <w:t>（202</w:t>
      </w:r>
      <w:r>
        <w:rPr>
          <w:rFonts w:hint="eastAsia"/>
          <w:color w:val="auto"/>
          <w:highlight w:val="none"/>
          <w:lang w:val="en-US" w:eastAsia="zh-CN"/>
        </w:rPr>
        <w:t>2</w:t>
      </w:r>
      <w:r>
        <w:rPr>
          <w:color w:val="auto"/>
          <w:highlight w:val="none"/>
        </w:rPr>
        <w:t>年修订）</w:t>
      </w:r>
      <w:r>
        <w:rPr>
          <w:rFonts w:hint="eastAsia"/>
          <w:color w:val="auto"/>
          <w:highlight w:val="none"/>
          <w:lang w:eastAsia="zh-CN"/>
        </w:rPr>
        <w:t>。</w:t>
      </w:r>
    </w:p>
    <w:p>
      <w:pPr>
        <w:pStyle w:val="5"/>
        <w:bidi w:val="0"/>
        <w:rPr>
          <w:rFonts w:hint="default"/>
          <w:highlight w:val="none"/>
          <w:lang w:val="en-US" w:eastAsia="zh-CN"/>
        </w:rPr>
      </w:pPr>
      <w:r>
        <w:rPr>
          <w:highlight w:val="none"/>
        </w:rPr>
        <w:t>1.6.</w:t>
      </w:r>
      <w:r>
        <w:rPr>
          <w:rFonts w:hint="eastAsia"/>
          <w:highlight w:val="none"/>
        </w:rPr>
        <w:t>2</w:t>
      </w:r>
      <w:r>
        <w:rPr>
          <w:highlight w:val="none"/>
        </w:rPr>
        <w:t xml:space="preserve"> </w:t>
      </w:r>
      <w:r>
        <w:rPr>
          <w:rFonts w:hint="eastAsia"/>
          <w:highlight w:val="none"/>
          <w:lang w:val="en-US" w:eastAsia="zh-CN"/>
        </w:rPr>
        <w:t>政策文件</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《自然资源部办公厅关于加强村庄规划促进乡村振兴的通知》（自然资办发〔2019〕35号）；</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《内蒙古自治区党委和自治区人民政府关于深化土地综合整治促进高质量发展的指导意见》（内党发〔2022〕18号）；</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color w:val="auto"/>
          <w:highlight w:val="none"/>
          <w:lang w:val="en-US" w:eastAsia="zh-CN"/>
        </w:rPr>
      </w:pPr>
      <w:r>
        <w:rPr>
          <w:rFonts w:hint="eastAsia"/>
          <w:color w:val="auto"/>
          <w:highlight w:val="none"/>
          <w:lang w:val="en-US" w:eastAsia="zh-CN"/>
        </w:rPr>
        <w:t>（3）《内蒙古</w:t>
      </w:r>
      <w:r>
        <w:rPr>
          <w:rFonts w:hint="default"/>
          <w:color w:val="auto"/>
          <w:highlight w:val="none"/>
          <w:lang w:val="en-US" w:eastAsia="zh-CN"/>
        </w:rPr>
        <w:t>自治区人民政府印发</w:t>
      </w:r>
      <w:r>
        <w:rPr>
          <w:rFonts w:hint="eastAsia"/>
          <w:color w:val="auto"/>
          <w:highlight w:val="none"/>
          <w:lang w:val="en-US" w:eastAsia="zh-CN"/>
        </w:rPr>
        <w:t>自治区深化土地综合整治促进高质量发展实施方案的通知》（内政发</w:t>
      </w:r>
      <w:r>
        <w:rPr>
          <w:rFonts w:hint="default"/>
          <w:color w:val="auto"/>
          <w:highlight w:val="none"/>
          <w:lang w:val="en-US" w:eastAsia="zh-CN"/>
        </w:rPr>
        <w:t>〔2022〕</w:t>
      </w:r>
      <w:r>
        <w:rPr>
          <w:rFonts w:hint="eastAsia"/>
          <w:color w:val="auto"/>
          <w:highlight w:val="none"/>
          <w:lang w:val="en-US" w:eastAsia="zh-CN"/>
        </w:rPr>
        <w:t>21号）；</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color w:val="auto"/>
          <w:highlight w:val="none"/>
          <w:lang w:val="en-US" w:eastAsia="zh-CN"/>
        </w:rPr>
      </w:pPr>
      <w:r>
        <w:rPr>
          <w:rFonts w:hint="eastAsia"/>
          <w:color w:val="auto"/>
          <w:highlight w:val="none"/>
          <w:lang w:val="en-US" w:eastAsia="zh-CN"/>
        </w:rPr>
        <w:t>（4）</w:t>
      </w:r>
      <w:r>
        <w:rPr>
          <w:rFonts w:hint="default"/>
          <w:color w:val="auto"/>
          <w:highlight w:val="none"/>
          <w:lang w:val="en-US" w:eastAsia="zh-CN"/>
        </w:rPr>
        <w:t>《内蒙古自治区自然资源厅关于进一步规范和完善城乡建设用地增减挂钩项目实施管理工作的通知》（内自然资字〔2019〕519号）；</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color w:val="auto"/>
          <w:highlight w:val="none"/>
          <w:lang w:val="en-US" w:eastAsia="zh-CN"/>
        </w:rPr>
      </w:pPr>
      <w:r>
        <w:rPr>
          <w:rFonts w:hint="eastAsia"/>
          <w:color w:val="auto"/>
          <w:highlight w:val="none"/>
          <w:lang w:val="en-US" w:eastAsia="zh-CN"/>
        </w:rPr>
        <w:t>（5）</w:t>
      </w:r>
      <w:r>
        <w:rPr>
          <w:rFonts w:hint="default"/>
          <w:color w:val="auto"/>
          <w:highlight w:val="none"/>
          <w:lang w:val="en-US" w:eastAsia="zh-CN"/>
        </w:rPr>
        <w:t>《内蒙古自治区自然资源厅关于进一步做好村庄规划编制工作的通知》（内自然资字〔2021〕34号）；</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仿宋" w:cs="Times New Roman"/>
          <w:color w:val="auto"/>
          <w:kern w:val="2"/>
          <w:sz w:val="28"/>
          <w:szCs w:val="24"/>
          <w:highlight w:val="none"/>
          <w:lang w:val="en-US" w:eastAsia="zh-CN" w:bidi="ar-SA"/>
        </w:rPr>
      </w:pPr>
      <w:r>
        <w:rPr>
          <w:rFonts w:hint="eastAsia"/>
          <w:color w:val="auto"/>
          <w:highlight w:val="none"/>
          <w:lang w:val="en-US" w:eastAsia="zh-CN"/>
        </w:rPr>
        <w:t>（6）</w:t>
      </w:r>
      <w:r>
        <w:rPr>
          <w:rFonts w:hint="default"/>
          <w:color w:val="auto"/>
          <w:highlight w:val="none"/>
          <w:lang w:val="en-US" w:eastAsia="zh-CN"/>
        </w:rPr>
        <w:t>《内蒙古自治区自然资源厅关于印发〈内蒙古自治区城乡建设用地增减挂钩实施细则（试行）〉》（内自然资字〔2022〕354号）</w:t>
      </w:r>
      <w:r>
        <w:rPr>
          <w:rFonts w:hint="eastAsia"/>
          <w:color w:val="auto"/>
          <w:highlight w:val="none"/>
          <w:lang w:val="en-US" w:eastAsia="zh-CN"/>
        </w:rPr>
        <w:t>；</w:t>
      </w:r>
    </w:p>
    <w:p>
      <w:pPr>
        <w:pStyle w:val="5"/>
        <w:bidi w:val="0"/>
        <w:rPr>
          <w:highlight w:val="none"/>
        </w:rPr>
      </w:pPr>
      <w:r>
        <w:rPr>
          <w:highlight w:val="none"/>
        </w:rPr>
        <w:t>1.6.</w:t>
      </w:r>
      <w:r>
        <w:rPr>
          <w:rFonts w:hint="eastAsia"/>
          <w:highlight w:val="none"/>
          <w:lang w:val="en-US" w:eastAsia="zh-CN"/>
        </w:rPr>
        <w:t>3</w:t>
      </w:r>
      <w:r>
        <w:rPr>
          <w:highlight w:val="none"/>
        </w:rPr>
        <w:t xml:space="preserve"> 相关规划</w:t>
      </w:r>
    </w:p>
    <w:p>
      <w:pPr>
        <w:pageBreakBefore w:val="0"/>
        <w:widowControl w:val="0"/>
        <w:numPr>
          <w:ilvl w:val="0"/>
          <w:numId w:val="1"/>
        </w:numPr>
        <w:kinsoku/>
        <w:wordWrap/>
        <w:overflowPunct/>
        <w:topLinePunct w:val="0"/>
        <w:autoSpaceDE/>
        <w:autoSpaceDN/>
        <w:bidi w:val="0"/>
        <w:adjustRightInd/>
        <w:snapToGrid/>
        <w:spacing w:line="480" w:lineRule="exact"/>
        <w:ind w:left="425" w:leftChars="0" w:firstLine="255" w:firstLineChars="0"/>
        <w:textAlignment w:val="auto"/>
        <w:rPr>
          <w:color w:val="auto"/>
          <w:highlight w:val="none"/>
        </w:rPr>
      </w:pPr>
      <w:r>
        <w:rPr>
          <w:color w:val="auto"/>
          <w:highlight w:val="none"/>
        </w:rPr>
        <w:t>《</w:t>
      </w:r>
      <w:r>
        <w:rPr>
          <w:rFonts w:hint="eastAsia"/>
          <w:color w:val="auto"/>
          <w:highlight w:val="none"/>
          <w:lang w:val="en-US" w:eastAsia="zh-CN"/>
        </w:rPr>
        <w:t>和林格尔县</w:t>
      </w:r>
      <w:r>
        <w:rPr>
          <w:color w:val="auto"/>
          <w:highlight w:val="none"/>
        </w:rPr>
        <w:t>国民经济和社会发展第十四个五年规划》；</w:t>
      </w:r>
    </w:p>
    <w:p>
      <w:pPr>
        <w:pageBreakBefore w:val="0"/>
        <w:widowControl w:val="0"/>
        <w:numPr>
          <w:ilvl w:val="0"/>
          <w:numId w:val="1"/>
        </w:numPr>
        <w:kinsoku/>
        <w:wordWrap/>
        <w:overflowPunct/>
        <w:topLinePunct w:val="0"/>
        <w:autoSpaceDE/>
        <w:autoSpaceDN/>
        <w:bidi w:val="0"/>
        <w:adjustRightInd/>
        <w:snapToGrid/>
        <w:spacing w:line="480" w:lineRule="exact"/>
        <w:ind w:left="425" w:leftChars="0" w:firstLine="255" w:firstLineChars="0"/>
        <w:textAlignment w:val="auto"/>
        <w:rPr>
          <w:color w:val="auto"/>
          <w:highlight w:val="none"/>
        </w:rPr>
      </w:pPr>
      <w:r>
        <w:rPr>
          <w:rFonts w:hint="eastAsia"/>
          <w:color w:val="auto"/>
          <w:highlight w:val="none"/>
          <w:lang w:val="en-US" w:eastAsia="zh-CN"/>
        </w:rPr>
        <w:t>和林格尔县巧什营镇岱洲窑村村庄</w:t>
      </w:r>
      <w:r>
        <w:rPr>
          <w:color w:val="auto"/>
          <w:highlight w:val="none"/>
        </w:rPr>
        <w:t>规划（202</w:t>
      </w:r>
      <w:r>
        <w:rPr>
          <w:rFonts w:hint="eastAsia"/>
          <w:color w:val="auto"/>
          <w:highlight w:val="none"/>
          <w:lang w:val="en-US" w:eastAsia="zh-CN"/>
        </w:rPr>
        <w:t>1</w:t>
      </w:r>
      <w:r>
        <w:rPr>
          <w:color w:val="auto"/>
          <w:highlight w:val="none"/>
        </w:rPr>
        <w:t>-2035年）；</w:t>
      </w:r>
    </w:p>
    <w:p>
      <w:pPr>
        <w:pageBreakBefore w:val="0"/>
        <w:widowControl w:val="0"/>
        <w:numPr>
          <w:ilvl w:val="0"/>
          <w:numId w:val="1"/>
        </w:numPr>
        <w:kinsoku/>
        <w:wordWrap/>
        <w:overflowPunct/>
        <w:topLinePunct w:val="0"/>
        <w:autoSpaceDE/>
        <w:autoSpaceDN/>
        <w:bidi w:val="0"/>
        <w:adjustRightInd/>
        <w:snapToGrid/>
        <w:spacing w:line="480" w:lineRule="exact"/>
        <w:ind w:left="425" w:leftChars="0" w:firstLine="255" w:firstLineChars="0"/>
        <w:textAlignment w:val="auto"/>
        <w:rPr>
          <w:color w:val="auto"/>
          <w:highlight w:val="none"/>
        </w:rPr>
      </w:pPr>
      <w:r>
        <w:rPr>
          <w:rFonts w:hint="eastAsia"/>
          <w:color w:val="auto"/>
          <w:highlight w:val="none"/>
          <w:lang w:val="en-US" w:eastAsia="zh-CN"/>
        </w:rPr>
        <w:t>和林格尔县巧什营镇巴尔旦营村村庄</w:t>
      </w:r>
      <w:r>
        <w:rPr>
          <w:color w:val="auto"/>
          <w:highlight w:val="none"/>
        </w:rPr>
        <w:t>规划（202</w:t>
      </w:r>
      <w:r>
        <w:rPr>
          <w:rFonts w:hint="eastAsia"/>
          <w:color w:val="auto"/>
          <w:highlight w:val="none"/>
          <w:lang w:val="en-US" w:eastAsia="zh-CN"/>
        </w:rPr>
        <w:t>1</w:t>
      </w:r>
      <w:r>
        <w:rPr>
          <w:color w:val="auto"/>
          <w:highlight w:val="none"/>
        </w:rPr>
        <w:t>-2035年）；</w:t>
      </w:r>
    </w:p>
    <w:p>
      <w:pPr>
        <w:pageBreakBefore w:val="0"/>
        <w:widowControl w:val="0"/>
        <w:numPr>
          <w:ilvl w:val="0"/>
          <w:numId w:val="1"/>
        </w:numPr>
        <w:kinsoku/>
        <w:wordWrap/>
        <w:overflowPunct/>
        <w:topLinePunct w:val="0"/>
        <w:autoSpaceDE/>
        <w:autoSpaceDN/>
        <w:bidi w:val="0"/>
        <w:adjustRightInd/>
        <w:snapToGrid/>
        <w:spacing w:line="480" w:lineRule="exact"/>
        <w:ind w:left="425" w:leftChars="0" w:firstLine="255" w:firstLineChars="0"/>
        <w:textAlignment w:val="auto"/>
        <w:rPr>
          <w:color w:val="auto"/>
          <w:highlight w:val="none"/>
        </w:rPr>
      </w:pPr>
      <w:r>
        <w:rPr>
          <w:rFonts w:hint="eastAsia"/>
          <w:color w:val="auto"/>
          <w:highlight w:val="none"/>
          <w:lang w:val="en-US" w:eastAsia="zh-CN"/>
        </w:rPr>
        <w:t>和林格尔县巧什营镇一间房村村庄</w:t>
      </w:r>
      <w:r>
        <w:rPr>
          <w:color w:val="auto"/>
          <w:highlight w:val="none"/>
        </w:rPr>
        <w:t>规划（202</w:t>
      </w:r>
      <w:r>
        <w:rPr>
          <w:rFonts w:hint="eastAsia"/>
          <w:color w:val="auto"/>
          <w:highlight w:val="none"/>
          <w:lang w:val="en-US" w:eastAsia="zh-CN"/>
        </w:rPr>
        <w:t>1</w:t>
      </w:r>
      <w:r>
        <w:rPr>
          <w:color w:val="auto"/>
          <w:highlight w:val="none"/>
        </w:rPr>
        <w:t>-2035年）；</w:t>
      </w:r>
    </w:p>
    <w:p>
      <w:pPr>
        <w:pageBreakBefore w:val="0"/>
        <w:widowControl w:val="0"/>
        <w:numPr>
          <w:ilvl w:val="0"/>
          <w:numId w:val="1"/>
        </w:numPr>
        <w:kinsoku/>
        <w:wordWrap/>
        <w:overflowPunct/>
        <w:topLinePunct w:val="0"/>
        <w:autoSpaceDE/>
        <w:autoSpaceDN/>
        <w:bidi w:val="0"/>
        <w:adjustRightInd/>
        <w:snapToGrid/>
        <w:spacing w:line="480" w:lineRule="exact"/>
        <w:ind w:left="425" w:leftChars="0" w:firstLine="255" w:firstLineChars="0"/>
        <w:textAlignment w:val="auto"/>
        <w:rPr>
          <w:highlight w:val="none"/>
        </w:rPr>
      </w:pPr>
      <w:r>
        <w:rPr>
          <w:rFonts w:hint="eastAsia"/>
          <w:color w:val="auto"/>
          <w:highlight w:val="none"/>
          <w:lang w:val="en-US" w:eastAsia="zh-CN"/>
        </w:rPr>
        <w:t>和林格尔县</w:t>
      </w:r>
      <w:r>
        <w:rPr>
          <w:color w:val="auto"/>
          <w:highlight w:val="none"/>
        </w:rPr>
        <w:t>202</w:t>
      </w:r>
      <w:r>
        <w:rPr>
          <w:rFonts w:hint="eastAsia"/>
          <w:color w:val="auto"/>
          <w:highlight w:val="none"/>
          <w:lang w:val="en-US" w:eastAsia="zh-CN"/>
        </w:rPr>
        <w:t>4</w:t>
      </w:r>
      <w:r>
        <w:rPr>
          <w:color w:val="auto"/>
          <w:highlight w:val="none"/>
        </w:rPr>
        <w:t>年统计年鉴；</w:t>
      </w:r>
    </w:p>
    <w:p>
      <w:pPr>
        <w:pageBreakBefore w:val="0"/>
        <w:widowControl w:val="0"/>
        <w:numPr>
          <w:ilvl w:val="0"/>
          <w:numId w:val="1"/>
        </w:numPr>
        <w:kinsoku/>
        <w:wordWrap/>
        <w:overflowPunct/>
        <w:topLinePunct w:val="0"/>
        <w:autoSpaceDE/>
        <w:autoSpaceDN/>
        <w:bidi w:val="0"/>
        <w:adjustRightInd/>
        <w:snapToGrid/>
        <w:spacing w:line="480" w:lineRule="exact"/>
        <w:ind w:left="425" w:leftChars="0" w:firstLine="255" w:firstLineChars="0"/>
        <w:textAlignment w:val="auto"/>
        <w:rPr>
          <w:rFonts w:hint="eastAsia"/>
          <w:color w:val="auto"/>
          <w:highlight w:val="none"/>
          <w:lang w:eastAsia="zh-CN"/>
        </w:rPr>
      </w:pPr>
      <w:r>
        <w:rPr>
          <w:rFonts w:hint="eastAsia" w:ascii="Times New Roman" w:hAnsi="Times New Roman" w:cs="Times New Roman"/>
          <w:color w:val="auto"/>
          <w:kern w:val="2"/>
          <w:sz w:val="28"/>
          <w:szCs w:val="24"/>
          <w:highlight w:val="none"/>
          <w:lang w:val="en-US" w:eastAsia="zh-CN" w:bidi="ar-SA"/>
        </w:rPr>
        <w:t>和林格尔县</w:t>
      </w:r>
      <w:r>
        <w:rPr>
          <w:rFonts w:hint="eastAsia" w:ascii="Times New Roman" w:hAnsi="Times New Roman" w:eastAsia="仿宋" w:cs="Times New Roman"/>
          <w:color w:val="auto"/>
          <w:kern w:val="2"/>
          <w:sz w:val="28"/>
          <w:szCs w:val="24"/>
          <w:highlight w:val="none"/>
          <w:lang w:val="en-US" w:eastAsia="zh-CN" w:bidi="ar-SA"/>
        </w:rPr>
        <w:t>2024年政府工作报告</w:t>
      </w:r>
      <w:r>
        <w:rPr>
          <w:rFonts w:hint="eastAsia"/>
          <w:color w:val="auto"/>
          <w:highlight w:val="none"/>
          <w:lang w:eastAsia="zh-CN"/>
        </w:rPr>
        <w:t>。</w:t>
      </w:r>
    </w:p>
    <w:p>
      <w:pPr>
        <w:pStyle w:val="5"/>
        <w:bidi w:val="0"/>
        <w:rPr>
          <w:highlight w:val="none"/>
        </w:rPr>
      </w:pPr>
      <w:r>
        <w:rPr>
          <w:highlight w:val="none"/>
        </w:rPr>
        <w:t>1.6.</w:t>
      </w:r>
      <w:r>
        <w:rPr>
          <w:rFonts w:hint="eastAsia"/>
          <w:highlight w:val="none"/>
          <w:lang w:val="en-US" w:eastAsia="zh-CN"/>
        </w:rPr>
        <w:t>4</w:t>
      </w:r>
      <w:r>
        <w:rPr>
          <w:highlight w:val="none"/>
        </w:rPr>
        <w:t>其他</w:t>
      </w:r>
    </w:p>
    <w:p>
      <w:pPr>
        <w:pageBreakBefore w:val="0"/>
        <w:widowControl w:val="0"/>
        <w:numPr>
          <w:ilvl w:val="0"/>
          <w:numId w:val="2"/>
        </w:numPr>
        <w:kinsoku/>
        <w:wordWrap/>
        <w:overflowPunct/>
        <w:topLinePunct w:val="0"/>
        <w:autoSpaceDE/>
        <w:autoSpaceDN/>
        <w:bidi w:val="0"/>
        <w:adjustRightInd/>
        <w:snapToGrid/>
        <w:spacing w:line="480" w:lineRule="exact"/>
        <w:ind w:left="454" w:leftChars="0" w:firstLine="226" w:firstLineChars="0"/>
        <w:textAlignment w:val="auto"/>
        <w:rPr>
          <w:color w:val="auto"/>
          <w:highlight w:val="none"/>
        </w:rPr>
      </w:pPr>
      <w:r>
        <w:rPr>
          <w:rFonts w:hint="eastAsia" w:ascii="Times New Roman" w:hAnsi="Times New Roman" w:cs="Times New Roman"/>
          <w:color w:val="auto"/>
          <w:kern w:val="2"/>
          <w:sz w:val="28"/>
          <w:szCs w:val="24"/>
          <w:highlight w:val="none"/>
          <w:lang w:val="en-US" w:eastAsia="zh-CN" w:bidi="ar-SA"/>
        </w:rPr>
        <w:t>和林格尔县</w:t>
      </w:r>
      <w:r>
        <w:rPr>
          <w:rFonts w:hint="eastAsia"/>
          <w:color w:val="auto"/>
          <w:highlight w:val="none"/>
        </w:rPr>
        <w:t>202</w:t>
      </w:r>
      <w:r>
        <w:rPr>
          <w:rFonts w:hint="eastAsia"/>
          <w:color w:val="auto"/>
          <w:highlight w:val="none"/>
          <w:lang w:val="en-US" w:eastAsia="zh-CN"/>
        </w:rPr>
        <w:t>3</w:t>
      </w:r>
      <w:r>
        <w:rPr>
          <w:rFonts w:hint="eastAsia"/>
          <w:color w:val="auto"/>
          <w:highlight w:val="none"/>
        </w:rPr>
        <w:t>年度</w:t>
      </w:r>
      <w:r>
        <w:rPr>
          <w:color w:val="auto"/>
          <w:highlight w:val="none"/>
        </w:rPr>
        <w:t>国土</w:t>
      </w:r>
      <w:r>
        <w:rPr>
          <w:rFonts w:hint="eastAsia"/>
          <w:color w:val="auto"/>
          <w:highlight w:val="none"/>
        </w:rPr>
        <w:t>变更</w:t>
      </w:r>
      <w:r>
        <w:rPr>
          <w:color w:val="auto"/>
          <w:highlight w:val="none"/>
        </w:rPr>
        <w:t>调查</w:t>
      </w:r>
      <w:r>
        <w:rPr>
          <w:rFonts w:hint="eastAsia"/>
          <w:color w:val="auto"/>
          <w:highlight w:val="none"/>
        </w:rPr>
        <w:t>数据</w:t>
      </w:r>
      <w:r>
        <w:rPr>
          <w:color w:val="auto"/>
          <w:highlight w:val="none"/>
        </w:rPr>
        <w:t>；</w:t>
      </w:r>
    </w:p>
    <w:p>
      <w:pPr>
        <w:pageBreakBefore w:val="0"/>
        <w:widowControl w:val="0"/>
        <w:numPr>
          <w:ilvl w:val="0"/>
          <w:numId w:val="2"/>
        </w:numPr>
        <w:kinsoku/>
        <w:wordWrap/>
        <w:overflowPunct/>
        <w:topLinePunct w:val="0"/>
        <w:autoSpaceDE/>
        <w:autoSpaceDN/>
        <w:bidi w:val="0"/>
        <w:adjustRightInd/>
        <w:snapToGrid/>
        <w:spacing w:line="480" w:lineRule="exact"/>
        <w:ind w:left="454" w:leftChars="0" w:firstLine="226" w:firstLineChars="0"/>
        <w:textAlignment w:val="auto"/>
        <w:rPr>
          <w:color w:val="auto"/>
          <w:highlight w:val="none"/>
        </w:rPr>
      </w:pPr>
      <w:r>
        <w:rPr>
          <w:rFonts w:hint="eastAsia" w:ascii="Times New Roman" w:hAnsi="Times New Roman" w:cs="Times New Roman"/>
          <w:color w:val="auto"/>
          <w:kern w:val="2"/>
          <w:sz w:val="28"/>
          <w:szCs w:val="24"/>
          <w:highlight w:val="none"/>
          <w:lang w:val="en-US" w:eastAsia="zh-CN" w:bidi="ar-SA"/>
        </w:rPr>
        <w:t>和林格尔县</w:t>
      </w:r>
      <w:r>
        <w:rPr>
          <w:rFonts w:hint="eastAsia"/>
          <w:color w:val="auto"/>
          <w:highlight w:val="none"/>
        </w:rPr>
        <w:t>20</w:t>
      </w:r>
      <w:r>
        <w:rPr>
          <w:rFonts w:hint="eastAsia"/>
          <w:color w:val="auto"/>
          <w:highlight w:val="none"/>
          <w:lang w:val="en-US" w:eastAsia="zh-CN"/>
        </w:rPr>
        <w:t>24</w:t>
      </w:r>
      <w:r>
        <w:rPr>
          <w:color w:val="auto"/>
          <w:highlight w:val="none"/>
        </w:rPr>
        <w:t>年卫星遥感影像图；</w:t>
      </w:r>
    </w:p>
    <w:p>
      <w:pPr>
        <w:pageBreakBefore w:val="0"/>
        <w:widowControl w:val="0"/>
        <w:numPr>
          <w:ilvl w:val="0"/>
          <w:numId w:val="2"/>
        </w:numPr>
        <w:kinsoku/>
        <w:wordWrap/>
        <w:overflowPunct/>
        <w:topLinePunct w:val="0"/>
        <w:autoSpaceDE/>
        <w:autoSpaceDN/>
        <w:bidi w:val="0"/>
        <w:adjustRightInd/>
        <w:snapToGrid/>
        <w:spacing w:line="480" w:lineRule="exact"/>
        <w:ind w:left="454" w:leftChars="0" w:firstLine="226" w:firstLineChars="0"/>
        <w:textAlignment w:val="auto"/>
        <w:rPr>
          <w:color w:val="auto"/>
          <w:highlight w:val="none"/>
        </w:rPr>
      </w:pPr>
      <w:r>
        <w:rPr>
          <w:color w:val="auto"/>
          <w:highlight w:val="none"/>
        </w:rPr>
        <w:t>耕地质量等别成果</w:t>
      </w:r>
      <w:r>
        <w:rPr>
          <w:rFonts w:hint="eastAsia"/>
          <w:color w:val="auto"/>
          <w:highlight w:val="none"/>
          <w:lang w:eastAsia="zh-CN"/>
        </w:rPr>
        <w:t>（</w:t>
      </w:r>
      <w:r>
        <w:rPr>
          <w:rFonts w:hint="eastAsia"/>
          <w:color w:val="auto"/>
          <w:highlight w:val="none"/>
          <w:lang w:val="en-US" w:eastAsia="zh-CN"/>
        </w:rPr>
        <w:t>2019年</w:t>
      </w:r>
      <w:r>
        <w:rPr>
          <w:rFonts w:hint="eastAsia"/>
          <w:color w:val="auto"/>
          <w:highlight w:val="none"/>
          <w:lang w:eastAsia="zh-CN"/>
        </w:rPr>
        <w:t>）</w:t>
      </w:r>
      <w:r>
        <w:rPr>
          <w:color w:val="auto"/>
          <w:highlight w:val="none"/>
        </w:rPr>
        <w:t>；</w:t>
      </w:r>
    </w:p>
    <w:p>
      <w:pPr>
        <w:pageBreakBefore w:val="0"/>
        <w:widowControl w:val="0"/>
        <w:numPr>
          <w:ilvl w:val="0"/>
          <w:numId w:val="2"/>
        </w:numPr>
        <w:kinsoku/>
        <w:wordWrap/>
        <w:overflowPunct/>
        <w:topLinePunct w:val="0"/>
        <w:autoSpaceDE/>
        <w:autoSpaceDN/>
        <w:bidi w:val="0"/>
        <w:adjustRightInd/>
        <w:snapToGrid/>
        <w:spacing w:line="480" w:lineRule="exact"/>
        <w:ind w:left="454" w:leftChars="0" w:firstLine="226" w:firstLineChars="0"/>
        <w:textAlignment w:val="auto"/>
        <w:rPr>
          <w:rFonts w:hint="eastAsia"/>
          <w:color w:val="auto"/>
          <w:highlight w:val="none"/>
        </w:rPr>
      </w:pPr>
      <w:r>
        <w:rPr>
          <w:color w:val="auto"/>
          <w:highlight w:val="none"/>
        </w:rPr>
        <w:t>《土地复垦质量控制标准》等国家和自治区其他相关标准、技术规范、规定及依法组织开展并公布的相关调查评价成果。</w:t>
      </w:r>
    </w:p>
    <w:p>
      <w:pPr>
        <w:pStyle w:val="5"/>
        <w:pageBreakBefore w:val="0"/>
        <w:widowControl w:val="0"/>
        <w:kinsoku/>
        <w:wordWrap/>
        <w:overflowPunct/>
        <w:topLinePunct w:val="0"/>
        <w:autoSpaceDE/>
        <w:autoSpaceDN/>
        <w:bidi w:val="0"/>
        <w:adjustRightInd/>
        <w:snapToGrid/>
        <w:spacing w:line="360" w:lineRule="auto"/>
        <w:textAlignment w:val="auto"/>
        <w:rPr>
          <w:highlight w:val="none"/>
        </w:rPr>
      </w:pPr>
      <w:r>
        <w:rPr>
          <w:highlight w:val="none"/>
        </w:rPr>
        <w:t>1.7 实施期限</w:t>
      </w:r>
      <w:bookmarkEnd w:id="46"/>
    </w:p>
    <w:p>
      <w:pPr>
        <w:bidi w:val="0"/>
        <w:rPr>
          <w:rFonts w:eastAsia="仿宋_GB2312"/>
          <w:color w:val="auto"/>
          <w:szCs w:val="28"/>
          <w:highlight w:val="none"/>
        </w:rPr>
      </w:pPr>
      <w:r>
        <w:rPr>
          <w:highlight w:val="none"/>
        </w:rPr>
        <w:t>本项目的规划期限为</w:t>
      </w:r>
      <w:r>
        <w:rPr>
          <w:rFonts w:hint="eastAsia"/>
          <w:highlight w:val="none"/>
          <w:lang w:val="en-US" w:eastAsia="zh-CN"/>
        </w:rPr>
        <w:t>17</w:t>
      </w:r>
      <w:r>
        <w:rPr>
          <w:rFonts w:hint="eastAsia"/>
          <w:highlight w:val="none"/>
        </w:rPr>
        <w:t>个月</w:t>
      </w:r>
      <w:r>
        <w:rPr>
          <w:highlight w:val="none"/>
        </w:rPr>
        <w:t>，即202</w:t>
      </w:r>
      <w:r>
        <w:rPr>
          <w:rFonts w:hint="eastAsia"/>
          <w:highlight w:val="none"/>
          <w:lang w:val="en-US" w:eastAsia="zh-CN"/>
        </w:rPr>
        <w:t>5</w:t>
      </w:r>
      <w:r>
        <w:rPr>
          <w:highlight w:val="none"/>
        </w:rPr>
        <w:t>年</w:t>
      </w:r>
      <w:r>
        <w:rPr>
          <w:rFonts w:hint="eastAsia"/>
          <w:highlight w:val="none"/>
          <w:lang w:val="en-US" w:eastAsia="zh-CN"/>
        </w:rPr>
        <w:t>4</w:t>
      </w:r>
      <w:r>
        <w:rPr>
          <w:rFonts w:hint="eastAsia"/>
          <w:highlight w:val="none"/>
        </w:rPr>
        <w:t>月初-202</w:t>
      </w:r>
      <w:r>
        <w:rPr>
          <w:rFonts w:hint="eastAsia"/>
          <w:highlight w:val="none"/>
          <w:lang w:val="en-US" w:eastAsia="zh-CN"/>
        </w:rPr>
        <w:t>6</w:t>
      </w:r>
      <w:r>
        <w:rPr>
          <w:rFonts w:hint="eastAsia"/>
          <w:highlight w:val="none"/>
        </w:rPr>
        <w:t>年</w:t>
      </w:r>
      <w:r>
        <w:rPr>
          <w:rFonts w:hint="eastAsia"/>
          <w:highlight w:val="none"/>
          <w:lang w:val="en-US" w:eastAsia="zh-CN"/>
        </w:rPr>
        <w:t>8</w:t>
      </w:r>
      <w:r>
        <w:rPr>
          <w:rFonts w:hint="eastAsia"/>
          <w:highlight w:val="none"/>
        </w:rPr>
        <w:t>月底</w:t>
      </w:r>
      <w:r>
        <w:rPr>
          <w:highlight w:val="none"/>
        </w:rPr>
        <w:t>。</w:t>
      </w:r>
    </w:p>
    <w:p>
      <w:pPr>
        <w:pStyle w:val="2"/>
        <w:bidi w:val="0"/>
        <w:ind w:left="0" w:leftChars="0" w:firstLine="722" w:firstLineChars="200"/>
        <w:rPr>
          <w:rFonts w:eastAsia="仿宋_GB2312"/>
          <w:color w:val="auto"/>
          <w:sz w:val="36"/>
          <w:szCs w:val="36"/>
          <w:highlight w:val="none"/>
        </w:rPr>
      </w:pPr>
      <w:bookmarkStart w:id="47" w:name="_Toc183011752"/>
      <w:bookmarkStart w:id="48" w:name="_Toc160511694"/>
      <w:bookmarkStart w:id="49" w:name="_Toc5896"/>
      <w:bookmarkStart w:id="50" w:name="_Toc11788"/>
      <w:bookmarkStart w:id="51" w:name="_Toc27987"/>
      <w:bookmarkStart w:id="52" w:name="_Toc1722"/>
      <w:r>
        <w:rPr>
          <w:rFonts w:hint="eastAsia" w:eastAsia="仿宋_GB2312"/>
          <w:color w:val="auto"/>
          <w:sz w:val="36"/>
          <w:szCs w:val="36"/>
          <w:highlight w:val="none"/>
          <w:lang w:val="en-US" w:eastAsia="zh-CN"/>
        </w:rPr>
        <w:t xml:space="preserve">第二章 </w:t>
      </w:r>
      <w:r>
        <w:rPr>
          <w:rFonts w:eastAsia="仿宋_GB2312"/>
          <w:color w:val="auto"/>
          <w:sz w:val="36"/>
          <w:szCs w:val="36"/>
          <w:highlight w:val="none"/>
        </w:rPr>
        <w:t>项目区</w:t>
      </w:r>
      <w:bookmarkEnd w:id="47"/>
      <w:bookmarkEnd w:id="48"/>
      <w:r>
        <w:rPr>
          <w:rFonts w:eastAsia="仿宋_GB2312"/>
          <w:color w:val="auto"/>
          <w:sz w:val="36"/>
          <w:szCs w:val="36"/>
          <w:highlight w:val="none"/>
        </w:rPr>
        <w:t>概况</w:t>
      </w:r>
      <w:bookmarkEnd w:id="49"/>
      <w:bookmarkEnd w:id="50"/>
      <w:bookmarkEnd w:id="51"/>
      <w:bookmarkEnd w:id="52"/>
    </w:p>
    <w:p>
      <w:pPr>
        <w:pStyle w:val="3"/>
        <w:bidi w:val="0"/>
        <w:rPr>
          <w:highlight w:val="none"/>
        </w:rPr>
      </w:pPr>
      <w:bookmarkStart w:id="53" w:name="_Toc29846"/>
      <w:bookmarkStart w:id="54" w:name="_Toc4138"/>
      <w:bookmarkStart w:id="55" w:name="_Toc21886"/>
      <w:r>
        <w:rPr>
          <w:highlight w:val="none"/>
        </w:rPr>
        <w:t>2.1 项目区基本情况</w:t>
      </w:r>
      <w:bookmarkEnd w:id="53"/>
      <w:bookmarkEnd w:id="54"/>
      <w:bookmarkEnd w:id="55"/>
    </w:p>
    <w:p>
      <w:pPr>
        <w:pStyle w:val="5"/>
        <w:bidi w:val="0"/>
        <w:rPr>
          <w:highlight w:val="none"/>
        </w:rPr>
      </w:pPr>
      <w:r>
        <w:rPr>
          <w:highlight w:val="none"/>
        </w:rPr>
        <w:t>2.1.1 拆旧区基本情况</w:t>
      </w:r>
    </w:p>
    <w:p>
      <w:pPr>
        <w:pStyle w:val="4"/>
        <w:rPr>
          <w:rFonts w:hint="eastAsia"/>
          <w:color w:val="auto"/>
          <w:highlight w:val="none"/>
          <w:lang w:val="en-US" w:eastAsia="zh-CN"/>
        </w:rPr>
      </w:pPr>
      <w:r>
        <w:rPr>
          <w:rFonts w:hint="eastAsia"/>
          <w:color w:val="auto"/>
          <w:highlight w:val="none"/>
          <w:lang w:val="en-US" w:eastAsia="zh-CN"/>
        </w:rPr>
        <w:t>和林格尔县2025</w:t>
      </w:r>
      <w:r>
        <w:rPr>
          <w:rFonts w:hint="eastAsia"/>
          <w:color w:val="auto"/>
          <w:highlight w:val="none"/>
          <w:lang w:eastAsia="zh-CN"/>
        </w:rPr>
        <w:t>年城乡建设用地增减挂钩项目</w:t>
      </w:r>
      <w:r>
        <w:rPr>
          <w:rFonts w:hint="eastAsia"/>
          <w:color w:val="auto"/>
          <w:highlight w:val="none"/>
        </w:rPr>
        <w:t>位于</w:t>
      </w:r>
      <w:r>
        <w:rPr>
          <w:rFonts w:hint="eastAsia"/>
          <w:color w:val="auto"/>
          <w:highlight w:val="none"/>
          <w:lang w:val="en-US" w:eastAsia="zh-CN"/>
        </w:rPr>
        <w:t>和林格尔县巧什营镇1</w:t>
      </w:r>
      <w:r>
        <w:rPr>
          <w:rFonts w:hint="eastAsia"/>
          <w:color w:val="auto"/>
          <w:highlight w:val="none"/>
        </w:rPr>
        <w:t>个</w:t>
      </w:r>
      <w:r>
        <w:rPr>
          <w:rFonts w:hint="eastAsia"/>
          <w:color w:val="auto"/>
          <w:highlight w:val="none"/>
          <w:lang w:val="en-US" w:eastAsia="zh-CN"/>
        </w:rPr>
        <w:t>乡</w:t>
      </w:r>
      <w:r>
        <w:rPr>
          <w:rFonts w:hint="eastAsia"/>
          <w:color w:val="auto"/>
          <w:highlight w:val="none"/>
        </w:rPr>
        <w:t>镇境内</w:t>
      </w:r>
      <w:r>
        <w:rPr>
          <w:rFonts w:hint="eastAsia"/>
          <w:color w:val="auto"/>
          <w:highlight w:val="none"/>
          <w:lang w:eastAsia="zh-CN"/>
        </w:rPr>
        <w:t>，</w:t>
      </w:r>
      <w:r>
        <w:rPr>
          <w:rFonts w:hint="eastAsia"/>
          <w:color w:val="auto"/>
          <w:highlight w:val="none"/>
        </w:rPr>
        <w:t>涉及</w:t>
      </w:r>
      <w:r>
        <w:rPr>
          <w:rFonts w:hint="eastAsia"/>
          <w:color w:val="auto"/>
          <w:highlight w:val="none"/>
          <w:lang w:val="en-US" w:eastAsia="zh-CN"/>
        </w:rPr>
        <w:t>岱洲窑</w:t>
      </w:r>
      <w:r>
        <w:rPr>
          <w:rFonts w:hint="eastAsia" w:cs="Times New Roman"/>
          <w:color w:val="auto"/>
          <w:highlight w:val="none"/>
          <w:lang w:val="en-US" w:eastAsia="zh-CN"/>
        </w:rPr>
        <w:t>村、</w:t>
      </w:r>
      <w:r>
        <w:rPr>
          <w:rFonts w:hint="eastAsia" w:cs="Times New Roman"/>
          <w:color w:val="auto"/>
          <w:highlight w:val="none"/>
          <w:lang w:eastAsia="zh-CN"/>
        </w:rPr>
        <w:t>巴尔旦营村、一间房村</w:t>
      </w:r>
      <w:r>
        <w:rPr>
          <w:rFonts w:hint="eastAsia" w:cs="Times New Roman"/>
          <w:color w:val="auto"/>
          <w:highlight w:val="none"/>
          <w:lang w:val="en-US" w:eastAsia="zh-CN"/>
        </w:rPr>
        <w:t>3个行政村</w:t>
      </w:r>
      <w:r>
        <w:rPr>
          <w:rFonts w:hint="eastAsia" w:cs="Times New Roman"/>
          <w:color w:val="auto"/>
          <w:highlight w:val="none"/>
          <w:lang w:eastAsia="zh-CN"/>
        </w:rPr>
        <w:t>。</w:t>
      </w:r>
      <w:r>
        <w:rPr>
          <w:rFonts w:hint="eastAsia" w:cs="Times New Roman"/>
          <w:color w:val="auto"/>
          <w:highlight w:val="none"/>
          <w:lang w:val="en-US" w:eastAsia="zh-CN"/>
        </w:rPr>
        <w:t>共22个地块，面积共459.69亩，提取2023年变更库土地利</w:t>
      </w:r>
      <w:r>
        <w:rPr>
          <w:rFonts w:hint="eastAsia"/>
          <w:color w:val="auto"/>
          <w:highlight w:val="none"/>
          <w:lang w:val="en-US" w:eastAsia="zh-CN"/>
        </w:rPr>
        <w:t>用现状全部为农村居民点</w:t>
      </w:r>
      <w:r>
        <w:rPr>
          <w:rFonts w:hint="eastAsia" w:cs="Times New Roman"/>
          <w:color w:val="auto"/>
          <w:highlight w:val="none"/>
          <w:lang w:val="en-US" w:eastAsia="zh-CN"/>
        </w:rPr>
        <w:t>（2023年城镇村等用地范围内）。</w:t>
      </w:r>
    </w:p>
    <w:p>
      <w:pPr>
        <w:bidi w:val="0"/>
        <w:ind w:left="0" w:leftChars="0" w:firstLine="560" w:firstLineChars="200"/>
        <w:rPr>
          <w:rFonts w:hint="eastAsia"/>
          <w:color w:val="auto"/>
          <w:highlight w:val="none"/>
        </w:rPr>
      </w:pPr>
      <w:r>
        <w:rPr>
          <w:rFonts w:hint="default"/>
          <w:color w:val="auto"/>
          <w:highlight w:val="none"/>
          <w:lang w:val="en-US" w:eastAsia="zh-CN"/>
        </w:rPr>
        <w:t>项目实施后，</w:t>
      </w:r>
      <w:r>
        <w:rPr>
          <w:rFonts w:hint="eastAsia"/>
          <w:color w:val="auto"/>
          <w:highlight w:val="none"/>
        </w:rPr>
        <w:t>拆旧区</w:t>
      </w:r>
      <w:r>
        <w:rPr>
          <w:rFonts w:hint="eastAsia"/>
          <w:color w:val="auto"/>
          <w:highlight w:val="none"/>
          <w:lang w:val="en-US" w:eastAsia="zh-CN"/>
        </w:rPr>
        <w:t>拟</w:t>
      </w:r>
      <w:r>
        <w:rPr>
          <w:rFonts w:hint="eastAsia"/>
          <w:color w:val="auto"/>
          <w:highlight w:val="none"/>
        </w:rPr>
        <w:t>复垦</w:t>
      </w:r>
      <w:r>
        <w:rPr>
          <w:rFonts w:hint="eastAsia"/>
          <w:color w:val="auto"/>
          <w:highlight w:val="none"/>
          <w:lang w:val="en-US" w:eastAsia="zh-CN"/>
        </w:rPr>
        <w:t>为耕</w:t>
      </w:r>
      <w:r>
        <w:rPr>
          <w:rFonts w:hint="eastAsia"/>
          <w:color w:val="auto"/>
          <w:highlight w:val="none"/>
        </w:rPr>
        <w:t>地</w:t>
      </w:r>
      <w:r>
        <w:rPr>
          <w:rFonts w:hint="eastAsia"/>
          <w:color w:val="auto"/>
          <w:highlight w:val="none"/>
          <w:lang w:val="en-US" w:eastAsia="zh-CN"/>
        </w:rPr>
        <w:t>459.69亩，全部复垦为耕地（旱地）</w:t>
      </w:r>
      <w:r>
        <w:rPr>
          <w:rFonts w:hint="eastAsia"/>
          <w:color w:val="auto"/>
          <w:highlight w:val="none"/>
        </w:rPr>
        <w:t>。拆旧地块涉及的农牧民全部由所在乡镇人民政府组织通过</w:t>
      </w:r>
      <w:r>
        <w:rPr>
          <w:rFonts w:hint="eastAsia"/>
          <w:color w:val="auto"/>
          <w:highlight w:val="none"/>
          <w:lang w:eastAsia="zh-CN"/>
        </w:rPr>
        <w:t>《</w:t>
      </w:r>
      <w:r>
        <w:rPr>
          <w:rFonts w:hint="eastAsia"/>
          <w:color w:val="auto"/>
          <w:highlight w:val="none"/>
          <w:lang w:val="en-US" w:eastAsia="zh-CN"/>
        </w:rPr>
        <w:t>和林格尔县人民政府办公室关于印发呼和浩特盛乐国际机场噪音影响区房屋搬迁补偿安置方案的通知</w:t>
      </w:r>
      <w:r>
        <w:rPr>
          <w:rFonts w:hint="eastAsia"/>
          <w:color w:val="auto"/>
          <w:highlight w:val="none"/>
          <w:lang w:eastAsia="zh-CN"/>
        </w:rPr>
        <w:t>》和政办字〔2025</w:t>
      </w:r>
      <w:r>
        <w:rPr>
          <w:rFonts w:hint="eastAsia"/>
          <w:color w:val="auto"/>
          <w:highlight w:val="none"/>
          <w:lang w:val="en-US" w:eastAsia="zh-CN"/>
        </w:rPr>
        <w:t>〕</w:t>
      </w:r>
      <w:r>
        <w:rPr>
          <w:rFonts w:hint="eastAsia"/>
          <w:color w:val="auto"/>
          <w:highlight w:val="none"/>
          <w:lang w:eastAsia="zh-CN"/>
        </w:rPr>
        <w:t>1号</w:t>
      </w:r>
      <w:r>
        <w:rPr>
          <w:rFonts w:hint="eastAsia"/>
          <w:color w:val="auto"/>
          <w:highlight w:val="none"/>
          <w:lang w:val="en-US" w:eastAsia="zh-CN"/>
        </w:rPr>
        <w:t>文件进行安置</w:t>
      </w:r>
      <w:r>
        <w:rPr>
          <w:rFonts w:hint="eastAsia"/>
          <w:color w:val="auto"/>
          <w:highlight w:val="none"/>
        </w:rPr>
        <w:t>。</w:t>
      </w:r>
    </w:p>
    <w:p>
      <w:pPr>
        <w:pStyle w:val="8"/>
        <w:ind w:left="0" w:leftChars="0" w:firstLine="0" w:firstLineChars="0"/>
        <w:jc w:val="center"/>
        <w:rPr>
          <w:rFonts w:hint="eastAsia" w:eastAsia="仿宋_GB2312"/>
          <w:color w:val="auto"/>
          <w:highlight w:val="none"/>
          <w:lang w:eastAsia="zh-CN"/>
        </w:rPr>
      </w:pPr>
      <w:r>
        <w:drawing>
          <wp:inline distT="0" distB="0" distL="114300" distR="114300">
            <wp:extent cx="5269865" cy="3973195"/>
            <wp:effectExtent l="0" t="0" r="6985" b="8255"/>
            <wp:docPr id="1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true"/>
                    </pic:cNvPicPr>
                  </pic:nvPicPr>
                  <pic:blipFill>
                    <a:blip r:embed="rId16"/>
                    <a:stretch>
                      <a:fillRect/>
                    </a:stretch>
                  </pic:blipFill>
                  <pic:spPr>
                    <a:xfrm>
                      <a:off x="0" y="0"/>
                      <a:ext cx="5269865" cy="3973195"/>
                    </a:xfrm>
                    <a:prstGeom prst="rect">
                      <a:avLst/>
                    </a:prstGeom>
                    <a:noFill/>
                    <a:ln>
                      <a:noFill/>
                    </a:ln>
                  </pic:spPr>
                </pic:pic>
              </a:graphicData>
            </a:graphic>
          </wp:inline>
        </w:drawing>
      </w:r>
    </w:p>
    <w:p>
      <w:pPr>
        <w:jc w:val="center"/>
        <w:rPr>
          <w:rFonts w:hint="default" w:ascii="Times New Roman" w:hAnsi="Times New Roman" w:cs="Times New Roman"/>
          <w:b/>
          <w:bCs w:val="0"/>
          <w:color w:val="auto"/>
          <w:sz w:val="24"/>
          <w:szCs w:val="24"/>
          <w:highlight w:val="none"/>
          <w:lang w:eastAsia="zh-CN"/>
        </w:rPr>
      </w:pPr>
      <w:r>
        <w:rPr>
          <w:rStyle w:val="91"/>
          <w:rFonts w:hint="default" w:ascii="Times New Roman" w:hAnsi="Times New Roman" w:cs="Times New Roman"/>
          <w:b/>
          <w:bCs w:val="0"/>
          <w:color w:val="auto"/>
          <w:sz w:val="24"/>
          <w:szCs w:val="24"/>
          <w:highlight w:val="none"/>
          <w:lang w:val="en-US" w:eastAsia="zh-CN"/>
        </w:rPr>
        <w:t>图2-1 拆旧区位置示意图</w:t>
      </w:r>
    </w:p>
    <w:p>
      <w:pPr>
        <w:jc w:val="center"/>
        <w:rPr>
          <w:rStyle w:val="91"/>
          <w:rFonts w:hint="default" w:ascii="Times New Roman" w:hAnsi="Times New Roman" w:cs="Times New Roman"/>
          <w:color w:val="auto"/>
          <w:sz w:val="24"/>
          <w:szCs w:val="24"/>
          <w:highlight w:val="none"/>
          <w:lang w:val="en-US" w:eastAsia="zh-CN"/>
        </w:rPr>
      </w:pPr>
    </w:p>
    <w:p>
      <w:pPr>
        <w:jc w:val="center"/>
        <w:rPr>
          <w:rStyle w:val="91"/>
          <w:rFonts w:hint="default" w:ascii="Times New Roman" w:hAnsi="Times New Roman" w:cs="Times New Roman"/>
          <w:color w:val="auto"/>
          <w:sz w:val="24"/>
          <w:szCs w:val="24"/>
          <w:highlight w:val="none"/>
          <w:lang w:val="en-US" w:eastAsia="zh-CN"/>
        </w:rPr>
      </w:pPr>
      <w:r>
        <w:rPr>
          <w:rStyle w:val="91"/>
          <w:rFonts w:hint="default" w:ascii="Times New Roman" w:hAnsi="Times New Roman" w:cs="Times New Roman"/>
          <w:color w:val="auto"/>
          <w:sz w:val="24"/>
          <w:szCs w:val="24"/>
          <w:highlight w:val="none"/>
          <w:lang w:val="en-US" w:eastAsia="zh-CN"/>
        </w:rPr>
        <w:t>表2-1 呼和浩特市</w:t>
      </w:r>
      <w:r>
        <w:rPr>
          <w:rStyle w:val="91"/>
          <w:rFonts w:hint="eastAsia" w:ascii="Times New Roman" w:hAnsi="Times New Roman" w:cs="Times New Roman"/>
          <w:color w:val="auto"/>
          <w:sz w:val="24"/>
          <w:szCs w:val="24"/>
          <w:highlight w:val="none"/>
          <w:lang w:val="en-US" w:eastAsia="zh-CN"/>
        </w:rPr>
        <w:t>和林格尔县</w:t>
      </w:r>
      <w:r>
        <w:rPr>
          <w:rStyle w:val="91"/>
          <w:rFonts w:hint="default" w:ascii="Times New Roman" w:hAnsi="Times New Roman" w:cs="Times New Roman"/>
          <w:color w:val="auto"/>
          <w:sz w:val="24"/>
          <w:szCs w:val="24"/>
          <w:highlight w:val="none"/>
          <w:lang w:val="en-US" w:eastAsia="zh-CN"/>
        </w:rPr>
        <w:t>202</w:t>
      </w:r>
      <w:r>
        <w:rPr>
          <w:rStyle w:val="91"/>
          <w:rFonts w:hint="eastAsia" w:ascii="Times New Roman" w:hAnsi="Times New Roman" w:cs="Times New Roman"/>
          <w:color w:val="auto"/>
          <w:sz w:val="24"/>
          <w:szCs w:val="24"/>
          <w:highlight w:val="none"/>
          <w:lang w:val="en-US" w:eastAsia="zh-CN"/>
        </w:rPr>
        <w:t>5</w:t>
      </w:r>
      <w:r>
        <w:rPr>
          <w:rStyle w:val="91"/>
          <w:rFonts w:hint="default" w:ascii="Times New Roman" w:hAnsi="Times New Roman" w:cs="Times New Roman"/>
          <w:color w:val="auto"/>
          <w:sz w:val="24"/>
          <w:szCs w:val="24"/>
          <w:highlight w:val="none"/>
          <w:lang w:val="en-US" w:eastAsia="zh-CN"/>
        </w:rPr>
        <w:t>年城乡建设用地增减挂钩</w:t>
      </w:r>
      <w:r>
        <w:rPr>
          <w:rStyle w:val="91"/>
          <w:rFonts w:hint="eastAsia" w:ascii="Times New Roman" w:hAnsi="Times New Roman" w:cs="Times New Roman"/>
          <w:color w:val="auto"/>
          <w:sz w:val="24"/>
          <w:szCs w:val="24"/>
          <w:highlight w:val="none"/>
          <w:lang w:val="en-US" w:eastAsia="zh-CN"/>
        </w:rPr>
        <w:t>巧什营镇项目区</w:t>
      </w:r>
      <w:r>
        <w:rPr>
          <w:rStyle w:val="91"/>
          <w:rFonts w:hint="default" w:ascii="Times New Roman" w:hAnsi="Times New Roman" w:cs="Times New Roman"/>
          <w:color w:val="auto"/>
          <w:sz w:val="24"/>
          <w:szCs w:val="24"/>
          <w:highlight w:val="none"/>
          <w:lang w:val="en-US" w:eastAsia="zh-CN"/>
        </w:rPr>
        <w:t>实施方案基本情况统计表</w:t>
      </w:r>
    </w:p>
    <w:tbl>
      <w:tblPr>
        <w:tblStyle w:val="2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30"/>
        <w:gridCol w:w="1701"/>
        <w:gridCol w:w="2193"/>
        <w:gridCol w:w="1892"/>
        <w:gridCol w:w="15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6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项目区单位</w:t>
            </w:r>
          </w:p>
        </w:tc>
        <w:tc>
          <w:tcPr>
            <w:tcW w:w="128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地块编号</w:t>
            </w:r>
          </w:p>
        </w:tc>
        <w:tc>
          <w:tcPr>
            <w:tcW w:w="11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复垦方向</w:t>
            </w:r>
          </w:p>
        </w:tc>
        <w:tc>
          <w:tcPr>
            <w:tcW w:w="93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面积（亩）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乡镇</w:t>
            </w:r>
          </w:p>
        </w:tc>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坐落单位</w:t>
            </w:r>
          </w:p>
        </w:tc>
        <w:tc>
          <w:tcPr>
            <w:tcW w:w="12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p>
        </w:tc>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p>
        </w:tc>
        <w:tc>
          <w:tcPr>
            <w:tcW w:w="93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巧什营镇</w:t>
            </w:r>
          </w:p>
        </w:tc>
        <w:tc>
          <w:tcPr>
            <w:tcW w:w="9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巴尔旦营村</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BRDYC-CJ-01</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3.76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BRDYC-CJ-02</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3.39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BRDYC-CJ-03</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7.03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BRDYC-CJ-04</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8.69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BRDYC-CJ-05</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2.75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BRDYC-CJ-06</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0.94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239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小计</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26.56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岱洲窑村</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DZYC-CJ-01</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184.48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DZYC-CJ-02</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62.53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DZYC-CJ-03</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1.19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239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小计</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248.21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一间房村</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YJFC-CJ-01</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10.69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YJFC-CJ-02</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5.61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YJFC-CJ-03</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4.74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YJFC-CJ-04</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68.49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YJFC-CJ-05</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45.88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YJFC-CJ-06</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0.29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YJFC-CJ-07</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8.05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YJFC-CJ-08</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2.27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YJFC-CJ-09</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12.14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YJFC-CJ-10</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24.78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YJFC-CJ-11</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0.44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YJFC-CJ-12</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0.42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YJFC-CJ-13</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1.12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239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小计</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184.93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339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总计</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459.69 </w:t>
            </w:r>
          </w:p>
        </w:tc>
      </w:tr>
    </w:tbl>
    <w:p>
      <w:pPr>
        <w:pStyle w:val="15"/>
        <w:bidi w:val="0"/>
        <w:rPr>
          <w:rFonts w:hint="eastAsia"/>
          <w:lang w:eastAsia="zh-CN"/>
        </w:rPr>
      </w:pPr>
    </w:p>
    <w:p>
      <w:pPr>
        <w:pStyle w:val="15"/>
        <w:bidi w:val="0"/>
        <w:ind w:left="0" w:leftChars="0" w:firstLine="0" w:firstLineChars="0"/>
        <w:jc w:val="center"/>
        <w:rPr>
          <w:rFonts w:hint="eastAsia"/>
          <w:lang w:eastAsia="zh-CN"/>
        </w:rPr>
      </w:pPr>
      <w:r>
        <w:rPr>
          <w:rFonts w:hint="eastAsia"/>
          <w:lang w:eastAsia="zh-CN"/>
        </w:rPr>
        <w:drawing>
          <wp:anchor distT="0" distB="0" distL="114300" distR="114300" simplePos="0" relativeHeight="251669504" behindDoc="0" locked="0" layoutInCell="1" allowOverlap="1">
            <wp:simplePos x="0" y="0"/>
            <wp:positionH relativeFrom="column">
              <wp:posOffset>8255</wp:posOffset>
            </wp:positionH>
            <wp:positionV relativeFrom="paragraph">
              <wp:posOffset>0</wp:posOffset>
            </wp:positionV>
            <wp:extent cx="5255260" cy="2365375"/>
            <wp:effectExtent l="0" t="0" r="2540" b="15875"/>
            <wp:wrapSquare wrapText="bothSides"/>
            <wp:docPr id="18" name="图片 18" descr="微信图片_2024111310040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微信图片_202411131004052"/>
                    <pic:cNvPicPr>
                      <a:picLocks noChangeAspect="true"/>
                    </pic:cNvPicPr>
                  </pic:nvPicPr>
                  <pic:blipFill>
                    <a:blip r:embed="rId17"/>
                    <a:stretch>
                      <a:fillRect/>
                    </a:stretch>
                  </pic:blipFill>
                  <pic:spPr>
                    <a:xfrm>
                      <a:off x="0" y="0"/>
                      <a:ext cx="5255260" cy="2365375"/>
                    </a:xfrm>
                    <a:prstGeom prst="rect">
                      <a:avLst/>
                    </a:prstGeom>
                  </pic:spPr>
                </pic:pic>
              </a:graphicData>
            </a:graphic>
          </wp:anchor>
        </w:drawing>
      </w:r>
    </w:p>
    <w:p>
      <w:pPr>
        <w:pStyle w:val="15"/>
        <w:bidi w:val="0"/>
        <w:jc w:val="center"/>
        <w:rPr>
          <w:rFonts w:hint="default" w:ascii="Times New Roman" w:hAnsi="Times New Roman" w:eastAsia="仿宋" w:cs="Times New Roman"/>
          <w:color w:val="auto"/>
          <w:kern w:val="2"/>
          <w:sz w:val="28"/>
          <w:szCs w:val="24"/>
          <w:highlight w:val="none"/>
          <w:lang w:val="en-US" w:eastAsia="zh-CN" w:bidi="ar-SA"/>
        </w:rPr>
      </w:pPr>
      <w:r>
        <w:rPr>
          <w:rFonts w:hint="eastAsia" w:ascii="Times New Roman" w:hAnsi="Times New Roman" w:eastAsia="仿宋" w:cs="Times New Roman"/>
          <w:color w:val="auto"/>
          <w:kern w:val="2"/>
          <w:sz w:val="28"/>
          <w:szCs w:val="24"/>
          <w:highlight w:val="none"/>
          <w:lang w:val="en-US" w:eastAsia="zh-CN" w:bidi="ar-SA"/>
        </w:rPr>
        <w:t>2-1现场照片1</w:t>
      </w:r>
    </w:p>
    <w:p>
      <w:pPr>
        <w:pStyle w:val="15"/>
        <w:bidi w:val="0"/>
        <w:ind w:left="0" w:leftChars="0" w:firstLine="0" w:firstLineChars="0"/>
        <w:jc w:val="center"/>
        <w:rPr>
          <w:rFonts w:hint="eastAsia"/>
          <w:lang w:eastAsia="zh-CN"/>
        </w:rPr>
      </w:pPr>
      <w:r>
        <w:rPr>
          <w:rFonts w:hint="eastAsia"/>
          <w:lang w:eastAsia="zh-CN"/>
        </w:rPr>
        <w:drawing>
          <wp:inline distT="0" distB="0" distL="114300" distR="114300">
            <wp:extent cx="5255260" cy="2365375"/>
            <wp:effectExtent l="0" t="0" r="2540" b="15875"/>
            <wp:docPr id="19" name="图片 19" descr="微信图片_2024111310040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微信图片_202411131004051"/>
                    <pic:cNvPicPr>
                      <a:picLocks noChangeAspect="true"/>
                    </pic:cNvPicPr>
                  </pic:nvPicPr>
                  <pic:blipFill>
                    <a:blip r:embed="rId18"/>
                    <a:stretch>
                      <a:fillRect/>
                    </a:stretch>
                  </pic:blipFill>
                  <pic:spPr>
                    <a:xfrm>
                      <a:off x="0" y="0"/>
                      <a:ext cx="5255260" cy="2365375"/>
                    </a:xfrm>
                    <a:prstGeom prst="rect">
                      <a:avLst/>
                    </a:prstGeom>
                  </pic:spPr>
                </pic:pic>
              </a:graphicData>
            </a:graphic>
          </wp:inline>
        </w:drawing>
      </w:r>
    </w:p>
    <w:p>
      <w:pPr>
        <w:pStyle w:val="15"/>
        <w:bidi w:val="0"/>
        <w:jc w:val="center"/>
        <w:rPr>
          <w:rFonts w:hint="eastAsia" w:ascii="Times New Roman" w:eastAsia="仿宋" w:cs="Times New Roman"/>
          <w:color w:val="auto"/>
          <w:kern w:val="2"/>
          <w:sz w:val="28"/>
          <w:szCs w:val="24"/>
          <w:highlight w:val="none"/>
          <w:lang w:val="en-US" w:eastAsia="zh-CN" w:bidi="ar-SA"/>
        </w:rPr>
      </w:pPr>
      <w:r>
        <w:rPr>
          <w:rFonts w:hint="eastAsia" w:ascii="Times New Roman" w:hAnsi="Times New Roman" w:eastAsia="仿宋" w:cs="Times New Roman"/>
          <w:color w:val="auto"/>
          <w:kern w:val="2"/>
          <w:sz w:val="28"/>
          <w:szCs w:val="24"/>
          <w:highlight w:val="none"/>
          <w:lang w:val="en-US" w:eastAsia="zh-CN" w:bidi="ar-SA"/>
        </w:rPr>
        <w:t>2-</w:t>
      </w:r>
      <w:r>
        <w:rPr>
          <w:rFonts w:hint="eastAsia" w:ascii="Times New Roman" w:eastAsia="仿宋" w:cs="Times New Roman"/>
          <w:color w:val="auto"/>
          <w:kern w:val="2"/>
          <w:sz w:val="28"/>
          <w:szCs w:val="24"/>
          <w:highlight w:val="none"/>
          <w:lang w:val="en-US" w:eastAsia="zh-CN" w:bidi="ar-SA"/>
        </w:rPr>
        <w:t>2</w:t>
      </w:r>
      <w:r>
        <w:rPr>
          <w:rFonts w:hint="eastAsia" w:ascii="Times New Roman" w:hAnsi="Times New Roman" w:eastAsia="仿宋" w:cs="Times New Roman"/>
          <w:color w:val="auto"/>
          <w:kern w:val="2"/>
          <w:sz w:val="28"/>
          <w:szCs w:val="24"/>
          <w:highlight w:val="none"/>
          <w:lang w:val="en-US" w:eastAsia="zh-CN" w:bidi="ar-SA"/>
        </w:rPr>
        <w:t>现场照片</w:t>
      </w:r>
      <w:r>
        <w:rPr>
          <w:rFonts w:hint="eastAsia" w:ascii="Times New Roman" w:eastAsia="仿宋" w:cs="Times New Roman"/>
          <w:color w:val="auto"/>
          <w:kern w:val="2"/>
          <w:sz w:val="28"/>
          <w:szCs w:val="24"/>
          <w:highlight w:val="none"/>
          <w:lang w:val="en-US" w:eastAsia="zh-CN" w:bidi="ar-SA"/>
        </w:rPr>
        <w:t>2</w:t>
      </w:r>
    </w:p>
    <w:p>
      <w:pPr>
        <w:pStyle w:val="15"/>
        <w:bidi w:val="0"/>
        <w:ind w:left="0" w:leftChars="0" w:firstLine="0" w:firstLineChars="0"/>
        <w:jc w:val="both"/>
        <w:rPr>
          <w:rFonts w:hint="default" w:ascii="Times New Roman" w:eastAsia="仿宋" w:cs="Times New Roman"/>
          <w:color w:val="auto"/>
          <w:kern w:val="2"/>
          <w:sz w:val="28"/>
          <w:szCs w:val="24"/>
          <w:highlight w:val="none"/>
          <w:lang w:val="en-US" w:eastAsia="zh-CN" w:bidi="ar-SA"/>
        </w:rPr>
      </w:pPr>
      <w:r>
        <w:rPr>
          <w:rFonts w:hint="default" w:ascii="Times New Roman" w:eastAsia="仿宋" w:cs="Times New Roman"/>
          <w:color w:val="auto"/>
          <w:kern w:val="2"/>
          <w:sz w:val="28"/>
          <w:szCs w:val="24"/>
          <w:highlight w:val="none"/>
          <w:lang w:val="en-US" w:eastAsia="zh-CN" w:bidi="ar-SA"/>
        </w:rPr>
        <w:drawing>
          <wp:inline distT="0" distB="0" distL="114300" distR="114300">
            <wp:extent cx="5255260" cy="2365375"/>
            <wp:effectExtent l="0" t="0" r="2540" b="15875"/>
            <wp:docPr id="22" name="图片 22" descr="微信图片_20241113100549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微信图片_202411131005492"/>
                    <pic:cNvPicPr>
                      <a:picLocks noChangeAspect="true"/>
                    </pic:cNvPicPr>
                  </pic:nvPicPr>
                  <pic:blipFill>
                    <a:blip r:embed="rId19"/>
                    <a:stretch>
                      <a:fillRect/>
                    </a:stretch>
                  </pic:blipFill>
                  <pic:spPr>
                    <a:xfrm>
                      <a:off x="0" y="0"/>
                      <a:ext cx="5255260" cy="2365375"/>
                    </a:xfrm>
                    <a:prstGeom prst="rect">
                      <a:avLst/>
                    </a:prstGeom>
                  </pic:spPr>
                </pic:pic>
              </a:graphicData>
            </a:graphic>
          </wp:inline>
        </w:drawing>
      </w:r>
    </w:p>
    <w:p>
      <w:pPr>
        <w:pStyle w:val="15"/>
        <w:bidi w:val="0"/>
        <w:ind w:left="0" w:leftChars="0" w:firstLine="0" w:firstLineChars="0"/>
        <w:jc w:val="center"/>
        <w:rPr>
          <w:rFonts w:hint="default" w:ascii="Times New Roman" w:eastAsia="仿宋" w:cs="Times New Roman"/>
          <w:color w:val="auto"/>
          <w:kern w:val="2"/>
          <w:sz w:val="28"/>
          <w:szCs w:val="24"/>
          <w:highlight w:val="none"/>
          <w:lang w:val="en-US" w:eastAsia="zh-CN" w:bidi="ar-SA"/>
        </w:rPr>
      </w:pPr>
      <w:r>
        <w:rPr>
          <w:rFonts w:hint="eastAsia" w:ascii="Times New Roman" w:hAnsi="Times New Roman" w:eastAsia="仿宋" w:cs="Times New Roman"/>
          <w:color w:val="auto"/>
          <w:kern w:val="2"/>
          <w:sz w:val="28"/>
          <w:szCs w:val="24"/>
          <w:highlight w:val="none"/>
          <w:lang w:val="en-US" w:eastAsia="zh-CN" w:bidi="ar-SA"/>
        </w:rPr>
        <w:t>2-</w:t>
      </w:r>
      <w:r>
        <w:rPr>
          <w:rFonts w:hint="eastAsia" w:ascii="Times New Roman" w:eastAsia="仿宋" w:cs="Times New Roman"/>
          <w:color w:val="auto"/>
          <w:kern w:val="2"/>
          <w:sz w:val="28"/>
          <w:szCs w:val="24"/>
          <w:highlight w:val="none"/>
          <w:lang w:val="en-US" w:eastAsia="zh-CN" w:bidi="ar-SA"/>
        </w:rPr>
        <w:t>3</w:t>
      </w:r>
      <w:r>
        <w:rPr>
          <w:rFonts w:hint="eastAsia" w:ascii="Times New Roman" w:hAnsi="Times New Roman" w:eastAsia="仿宋" w:cs="Times New Roman"/>
          <w:color w:val="auto"/>
          <w:kern w:val="2"/>
          <w:sz w:val="28"/>
          <w:szCs w:val="24"/>
          <w:highlight w:val="none"/>
          <w:lang w:val="en-US" w:eastAsia="zh-CN" w:bidi="ar-SA"/>
        </w:rPr>
        <w:t>现场照片</w:t>
      </w:r>
      <w:r>
        <w:rPr>
          <w:rFonts w:hint="eastAsia" w:ascii="Times New Roman" w:eastAsia="仿宋" w:cs="Times New Roman"/>
          <w:color w:val="auto"/>
          <w:kern w:val="2"/>
          <w:sz w:val="28"/>
          <w:szCs w:val="24"/>
          <w:highlight w:val="none"/>
          <w:lang w:val="en-US" w:eastAsia="zh-CN" w:bidi="ar-SA"/>
        </w:rPr>
        <w:t>3</w:t>
      </w:r>
    </w:p>
    <w:p>
      <w:pPr>
        <w:pStyle w:val="15"/>
        <w:bidi w:val="0"/>
        <w:ind w:left="0" w:leftChars="0" w:firstLine="0" w:firstLineChars="0"/>
        <w:jc w:val="center"/>
        <w:rPr>
          <w:rFonts w:hint="default" w:ascii="Times New Roman" w:eastAsia="仿宋" w:cs="Times New Roman"/>
          <w:color w:val="auto"/>
          <w:kern w:val="2"/>
          <w:sz w:val="28"/>
          <w:szCs w:val="24"/>
          <w:highlight w:val="none"/>
          <w:lang w:val="en-US" w:eastAsia="zh-CN" w:bidi="ar-SA"/>
        </w:rPr>
      </w:pPr>
      <w:r>
        <w:rPr>
          <w:rFonts w:hint="default" w:ascii="Times New Roman" w:eastAsia="仿宋" w:cs="Times New Roman"/>
          <w:color w:val="auto"/>
          <w:kern w:val="2"/>
          <w:sz w:val="28"/>
          <w:szCs w:val="24"/>
          <w:highlight w:val="none"/>
          <w:lang w:val="en-US" w:eastAsia="zh-CN" w:bidi="ar-SA"/>
        </w:rPr>
        <w:drawing>
          <wp:inline distT="0" distB="0" distL="114300" distR="114300">
            <wp:extent cx="5255260" cy="2365375"/>
            <wp:effectExtent l="0" t="0" r="2540" b="15875"/>
            <wp:docPr id="23" name="图片 23" descr="微信图片_20241113100549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微信图片_202411131005493"/>
                    <pic:cNvPicPr>
                      <a:picLocks noChangeAspect="true"/>
                    </pic:cNvPicPr>
                  </pic:nvPicPr>
                  <pic:blipFill>
                    <a:blip r:embed="rId20"/>
                    <a:stretch>
                      <a:fillRect/>
                    </a:stretch>
                  </pic:blipFill>
                  <pic:spPr>
                    <a:xfrm>
                      <a:off x="0" y="0"/>
                      <a:ext cx="5255260" cy="2365375"/>
                    </a:xfrm>
                    <a:prstGeom prst="rect">
                      <a:avLst/>
                    </a:prstGeom>
                  </pic:spPr>
                </pic:pic>
              </a:graphicData>
            </a:graphic>
          </wp:inline>
        </w:drawing>
      </w:r>
      <w:r>
        <w:rPr>
          <w:rFonts w:hint="eastAsia" w:ascii="Times New Roman" w:hAnsi="Times New Roman" w:eastAsia="仿宋" w:cs="Times New Roman"/>
          <w:color w:val="auto"/>
          <w:kern w:val="2"/>
          <w:sz w:val="28"/>
          <w:szCs w:val="24"/>
          <w:highlight w:val="none"/>
          <w:lang w:val="en-US" w:eastAsia="zh-CN" w:bidi="ar-SA"/>
        </w:rPr>
        <w:t>2-</w:t>
      </w:r>
      <w:r>
        <w:rPr>
          <w:rFonts w:hint="eastAsia" w:ascii="Times New Roman" w:eastAsia="仿宋" w:cs="Times New Roman"/>
          <w:color w:val="auto"/>
          <w:kern w:val="2"/>
          <w:sz w:val="28"/>
          <w:szCs w:val="24"/>
          <w:highlight w:val="none"/>
          <w:lang w:val="en-US" w:eastAsia="zh-CN" w:bidi="ar-SA"/>
        </w:rPr>
        <w:t>4</w:t>
      </w:r>
      <w:r>
        <w:rPr>
          <w:rFonts w:hint="eastAsia" w:ascii="Times New Roman" w:hAnsi="Times New Roman" w:eastAsia="仿宋" w:cs="Times New Roman"/>
          <w:color w:val="auto"/>
          <w:kern w:val="2"/>
          <w:sz w:val="28"/>
          <w:szCs w:val="24"/>
          <w:highlight w:val="none"/>
          <w:lang w:val="en-US" w:eastAsia="zh-CN" w:bidi="ar-SA"/>
        </w:rPr>
        <w:t>现场照片</w:t>
      </w:r>
      <w:r>
        <w:rPr>
          <w:rFonts w:hint="eastAsia" w:ascii="Times New Roman" w:eastAsia="仿宋" w:cs="Times New Roman"/>
          <w:color w:val="auto"/>
          <w:kern w:val="2"/>
          <w:sz w:val="28"/>
          <w:szCs w:val="24"/>
          <w:highlight w:val="none"/>
          <w:lang w:val="en-US" w:eastAsia="zh-CN" w:bidi="ar-SA"/>
        </w:rPr>
        <w:t>4</w:t>
      </w:r>
    </w:p>
    <w:p>
      <w:pPr>
        <w:pStyle w:val="5"/>
        <w:bidi w:val="0"/>
        <w:rPr>
          <w:highlight w:val="none"/>
        </w:rPr>
      </w:pPr>
      <w:r>
        <w:rPr>
          <w:highlight w:val="none"/>
        </w:rPr>
        <w:t>2.1.</w:t>
      </w:r>
      <w:r>
        <w:rPr>
          <w:rFonts w:hint="eastAsia"/>
          <w:highlight w:val="none"/>
          <w:lang w:val="en-US" w:eastAsia="zh-CN"/>
        </w:rPr>
        <w:t>2</w:t>
      </w:r>
      <w:r>
        <w:rPr>
          <w:highlight w:val="none"/>
        </w:rPr>
        <w:t xml:space="preserve"> 建新安置区基本情况</w:t>
      </w:r>
    </w:p>
    <w:p>
      <w:pPr>
        <w:bidi w:val="0"/>
        <w:rPr>
          <w:rFonts w:hint="default" w:ascii="Times New Roman" w:hAnsi="Times New Roman" w:cs="Times New Roman"/>
          <w:color w:val="auto"/>
          <w:highlight w:val="none"/>
          <w:lang w:val="en-US" w:eastAsia="zh-CN"/>
        </w:rPr>
      </w:pPr>
      <w:r>
        <w:rPr>
          <w:rFonts w:hint="eastAsia"/>
          <w:highlight w:val="none"/>
          <w:lang w:val="en-US" w:eastAsia="zh-CN"/>
        </w:rPr>
        <w:t>根据</w:t>
      </w:r>
      <w:r>
        <w:rPr>
          <w:rFonts w:hint="eastAsia"/>
          <w:color w:val="auto"/>
          <w:highlight w:val="none"/>
          <w:lang w:eastAsia="zh-CN"/>
        </w:rPr>
        <w:t>《</w:t>
      </w:r>
      <w:r>
        <w:rPr>
          <w:rFonts w:hint="eastAsia"/>
          <w:color w:val="auto"/>
          <w:highlight w:val="none"/>
          <w:lang w:val="en-US" w:eastAsia="zh-CN"/>
        </w:rPr>
        <w:t>和林格尔县人民政府办公室关于印发呼和浩特盛乐国际机场噪音影响区房屋搬迁补偿安置方案的通知</w:t>
      </w:r>
      <w:r>
        <w:rPr>
          <w:rFonts w:hint="eastAsia"/>
          <w:color w:val="auto"/>
          <w:highlight w:val="none"/>
          <w:lang w:eastAsia="zh-CN"/>
        </w:rPr>
        <w:t>》和政办字（〔2025</w:t>
      </w:r>
      <w:r>
        <w:rPr>
          <w:rFonts w:hint="eastAsia"/>
          <w:color w:val="auto"/>
          <w:highlight w:val="none"/>
          <w:lang w:val="en-US" w:eastAsia="zh-CN"/>
        </w:rPr>
        <w:t>〕</w:t>
      </w:r>
      <w:r>
        <w:rPr>
          <w:rFonts w:hint="eastAsia"/>
          <w:color w:val="auto"/>
          <w:highlight w:val="none"/>
          <w:lang w:eastAsia="zh-CN"/>
        </w:rPr>
        <w:t>1号）</w:t>
      </w:r>
      <w:r>
        <w:rPr>
          <w:rFonts w:hint="eastAsia" w:ascii="Times New Roman" w:hAnsi="Times New Roman" w:cs="Times New Roman"/>
          <w:color w:val="auto"/>
          <w:highlight w:val="none"/>
          <w:lang w:val="en-US" w:eastAsia="zh-CN"/>
        </w:rPr>
        <w:t>，安置对象可以选择货币安置或房屋产权置换，补偿标准</w:t>
      </w:r>
      <w:r>
        <w:rPr>
          <w:rFonts w:hint="eastAsia"/>
          <w:highlight w:val="none"/>
          <w:lang w:val="en-US" w:eastAsia="zh-CN"/>
        </w:rPr>
        <w:t>以</w:t>
      </w:r>
      <w:r>
        <w:rPr>
          <w:rFonts w:hint="eastAsia"/>
          <w:color w:val="auto"/>
          <w:highlight w:val="none"/>
          <w:lang w:eastAsia="zh-CN"/>
        </w:rPr>
        <w:t>《</w:t>
      </w:r>
      <w:r>
        <w:rPr>
          <w:rFonts w:hint="eastAsia"/>
          <w:color w:val="auto"/>
          <w:highlight w:val="none"/>
          <w:lang w:val="en-US" w:eastAsia="zh-CN"/>
        </w:rPr>
        <w:t>和林格尔县人民政府办公室关于印发呼和浩特盛乐国际机场噪音影响区房屋搬迁补偿安置方案的通知</w:t>
      </w:r>
      <w:r>
        <w:rPr>
          <w:rFonts w:hint="eastAsia"/>
          <w:color w:val="auto"/>
          <w:highlight w:val="none"/>
          <w:lang w:eastAsia="zh-CN"/>
        </w:rPr>
        <w:t>》和政办字（〔2025</w:t>
      </w:r>
      <w:r>
        <w:rPr>
          <w:rFonts w:hint="eastAsia"/>
          <w:color w:val="auto"/>
          <w:highlight w:val="none"/>
          <w:lang w:val="en-US" w:eastAsia="zh-CN"/>
        </w:rPr>
        <w:t>〕</w:t>
      </w:r>
      <w:r>
        <w:rPr>
          <w:rFonts w:hint="eastAsia"/>
          <w:color w:val="auto"/>
          <w:highlight w:val="none"/>
          <w:lang w:eastAsia="zh-CN"/>
        </w:rPr>
        <w:t>1号）</w:t>
      </w:r>
      <w:r>
        <w:rPr>
          <w:rFonts w:hint="eastAsia"/>
          <w:highlight w:val="none"/>
        </w:rPr>
        <w:t>文件为依据</w:t>
      </w:r>
      <w:r>
        <w:rPr>
          <w:rFonts w:hint="eastAsia"/>
          <w:highlight w:val="none"/>
          <w:lang w:val="en-US" w:eastAsia="zh-CN"/>
        </w:rPr>
        <w:t>制定</w:t>
      </w:r>
      <w:r>
        <w:rPr>
          <w:highlight w:val="none"/>
        </w:rPr>
        <w:t>。</w:t>
      </w:r>
      <w:r>
        <w:rPr>
          <w:rFonts w:hint="eastAsia"/>
          <w:highlight w:val="none"/>
          <w:lang w:val="en-US" w:eastAsia="zh-CN"/>
        </w:rPr>
        <w:t>拆迁补偿资金全部由呼和浩特城市交通投资建设集团有限公司提供,本次实施方案不包含拆迁补偿费用。</w:t>
      </w:r>
    </w:p>
    <w:p>
      <w:pPr>
        <w:pStyle w:val="5"/>
        <w:bidi w:val="0"/>
        <w:rPr>
          <w:highlight w:val="none"/>
        </w:rPr>
      </w:pPr>
      <w:r>
        <w:rPr>
          <w:highlight w:val="none"/>
        </w:rPr>
        <w:t>2.1.</w:t>
      </w:r>
      <w:r>
        <w:rPr>
          <w:rFonts w:hint="eastAsia"/>
          <w:highlight w:val="none"/>
          <w:lang w:val="en-US" w:eastAsia="zh-CN"/>
        </w:rPr>
        <w:t>3</w:t>
      </w:r>
      <w:r>
        <w:rPr>
          <w:highlight w:val="none"/>
        </w:rPr>
        <w:t xml:space="preserve"> 建新区基本情况</w:t>
      </w:r>
    </w:p>
    <w:p>
      <w:pPr>
        <w:bidi w:val="0"/>
        <w:ind w:firstLine="560" w:firstLineChars="200"/>
        <w:rPr>
          <w:color w:val="auto"/>
          <w:highlight w:val="none"/>
        </w:rPr>
      </w:pPr>
      <w:r>
        <w:rPr>
          <w:color w:val="auto"/>
          <w:highlight w:val="none"/>
        </w:rPr>
        <w:t>本方案不</w:t>
      </w:r>
      <w:r>
        <w:rPr>
          <w:rFonts w:hint="eastAsia"/>
          <w:color w:val="auto"/>
          <w:highlight w:val="none"/>
        </w:rPr>
        <w:t>涉及</w:t>
      </w:r>
      <w:r>
        <w:rPr>
          <w:color w:val="auto"/>
          <w:highlight w:val="none"/>
        </w:rPr>
        <w:t>建新区</w:t>
      </w:r>
      <w:r>
        <w:rPr>
          <w:rFonts w:hint="eastAsia"/>
          <w:color w:val="auto"/>
          <w:highlight w:val="none"/>
          <w:lang w:eastAsia="zh-CN"/>
        </w:rPr>
        <w:t>，</w:t>
      </w:r>
      <w:r>
        <w:rPr>
          <w:color w:val="auto"/>
          <w:highlight w:val="none"/>
        </w:rPr>
        <w:t>项目实施后节余增减挂钩指标</w:t>
      </w:r>
      <w:r>
        <w:rPr>
          <w:rFonts w:hint="eastAsia"/>
          <w:highlight w:val="none"/>
          <w:lang w:val="en-US" w:eastAsia="zh-CN"/>
        </w:rPr>
        <w:t>459.69</w:t>
      </w:r>
      <w:r>
        <w:rPr>
          <w:color w:val="auto"/>
          <w:highlight w:val="none"/>
        </w:rPr>
        <w:t>亩。</w:t>
      </w:r>
    </w:p>
    <w:p>
      <w:pPr>
        <w:pStyle w:val="8"/>
        <w:ind w:left="0" w:leftChars="0" w:firstLine="0" w:firstLineChars="0"/>
        <w:rPr>
          <w:rFonts w:hint="default" w:ascii="Times New Roman" w:hAnsi="Times New Roman" w:eastAsia="仿宋" w:cs="Times New Roman"/>
          <w:color w:val="auto"/>
          <w:kern w:val="2"/>
          <w:sz w:val="28"/>
          <w:szCs w:val="24"/>
          <w:highlight w:val="none"/>
          <w:lang w:val="en-US" w:eastAsia="zh-CN" w:bidi="ar-SA"/>
        </w:rPr>
      </w:pPr>
      <w:r>
        <w:rPr>
          <w:rFonts w:hint="eastAsia" w:ascii="Times New Roman" w:hAnsi="Times New Roman" w:eastAsia="仿宋" w:cs="Times New Roman"/>
          <w:color w:val="auto"/>
          <w:kern w:val="2"/>
          <w:sz w:val="28"/>
          <w:szCs w:val="24"/>
          <w:highlight w:val="none"/>
          <w:lang w:val="en-US" w:eastAsia="zh-CN" w:bidi="ar-SA"/>
        </w:rPr>
        <w:t>本次项目共涉及593户1354人，其中一间房村235户573人，草场村332户714人，张昌营村26户，67人。已经全部通过《和林格尔县人民政府办公室关于印发呼和浩特盛乐国际机场噪音影响区房屋搬迁补偿安置方案的通知》和政办字（〔2025〕1号）安置完毕。</w:t>
      </w:r>
    </w:p>
    <w:p>
      <w:pPr>
        <w:pStyle w:val="5"/>
        <w:bidi w:val="0"/>
        <w:rPr>
          <w:color w:val="auto"/>
          <w:highlight w:val="none"/>
        </w:rPr>
      </w:pPr>
      <w:r>
        <w:rPr>
          <w:color w:val="auto"/>
          <w:highlight w:val="none"/>
        </w:rPr>
        <w:t>2.1.</w:t>
      </w:r>
      <w:r>
        <w:rPr>
          <w:rFonts w:hint="eastAsia"/>
          <w:color w:val="auto"/>
          <w:highlight w:val="none"/>
          <w:lang w:val="en-US" w:eastAsia="zh-CN"/>
        </w:rPr>
        <w:t>4</w:t>
      </w:r>
      <w:r>
        <w:rPr>
          <w:color w:val="auto"/>
          <w:highlight w:val="none"/>
        </w:rPr>
        <w:t xml:space="preserve"> 符合国土空间规划情况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olor w:val="auto"/>
          <w:highlight w:val="none"/>
        </w:rPr>
      </w:pPr>
      <w:r>
        <w:rPr>
          <w:rFonts w:hint="eastAsia"/>
          <w:color w:val="auto"/>
          <w:highlight w:val="none"/>
          <w:lang w:val="en-US" w:eastAsia="zh-CN"/>
        </w:rPr>
        <w:t>和林格尔县2025</w:t>
      </w:r>
      <w:r>
        <w:rPr>
          <w:rFonts w:hint="eastAsia"/>
          <w:color w:val="auto"/>
          <w:highlight w:val="none"/>
          <w:lang w:eastAsia="zh-CN"/>
        </w:rPr>
        <w:t>年城乡建设用地增减挂钩项目</w:t>
      </w:r>
      <w:r>
        <w:rPr>
          <w:rFonts w:hint="eastAsia"/>
          <w:color w:val="auto"/>
          <w:highlight w:val="none"/>
        </w:rPr>
        <w:t>拆旧区总面积</w:t>
      </w:r>
      <w:r>
        <w:rPr>
          <w:rFonts w:hint="eastAsia"/>
          <w:highlight w:val="none"/>
          <w:lang w:val="en-US" w:eastAsia="zh-CN"/>
        </w:rPr>
        <w:t>459.69</w:t>
      </w:r>
      <w:r>
        <w:rPr>
          <w:rFonts w:hint="eastAsia"/>
          <w:color w:val="auto"/>
          <w:highlight w:val="none"/>
        </w:rPr>
        <w:t>亩，土地利用现状为</w:t>
      </w:r>
      <w:r>
        <w:rPr>
          <w:rFonts w:hint="eastAsia"/>
          <w:color w:val="auto"/>
          <w:highlight w:val="none"/>
          <w:lang w:val="en-US" w:eastAsia="zh-CN"/>
        </w:rPr>
        <w:t>农村居民点</w:t>
      </w:r>
      <w:r>
        <w:rPr>
          <w:rFonts w:hint="eastAsia"/>
          <w:color w:val="auto"/>
          <w:highlight w:val="none"/>
        </w:rPr>
        <w:t>涉及</w:t>
      </w:r>
      <w:r>
        <w:rPr>
          <w:rFonts w:hint="eastAsia"/>
          <w:color w:val="auto"/>
          <w:highlight w:val="none"/>
          <w:lang w:val="en-US" w:eastAsia="zh-CN"/>
        </w:rPr>
        <w:t>3个行政村，3</w:t>
      </w:r>
      <w:r>
        <w:rPr>
          <w:rFonts w:hint="eastAsia"/>
          <w:color w:val="auto"/>
          <w:highlight w:val="none"/>
        </w:rPr>
        <w:t>个自然村</w:t>
      </w:r>
      <w:r>
        <w:rPr>
          <w:rFonts w:hint="eastAsia"/>
          <w:color w:val="auto"/>
          <w:highlight w:val="none"/>
          <w:lang w:eastAsia="zh-CN"/>
        </w:rPr>
        <w:t>，</w:t>
      </w:r>
      <w:r>
        <w:rPr>
          <w:rFonts w:hint="eastAsia"/>
          <w:color w:val="auto"/>
          <w:highlight w:val="none"/>
        </w:rPr>
        <w:t>共</w:t>
      </w:r>
      <w:r>
        <w:rPr>
          <w:rFonts w:hint="eastAsia"/>
          <w:color w:val="auto"/>
          <w:highlight w:val="none"/>
          <w:lang w:val="en-US" w:eastAsia="zh-CN"/>
        </w:rPr>
        <w:t>22</w:t>
      </w:r>
      <w:r>
        <w:rPr>
          <w:rFonts w:hint="eastAsia"/>
          <w:color w:val="auto"/>
          <w:highlight w:val="none"/>
        </w:rPr>
        <w:t>个地块，拟复垦方向为耕地</w:t>
      </w:r>
      <w:r>
        <w:rPr>
          <w:rFonts w:hint="eastAsia"/>
          <w:color w:val="auto"/>
          <w:highlight w:val="none"/>
          <w:lang w:eastAsia="zh-CN"/>
        </w:rPr>
        <w:t>（</w:t>
      </w:r>
      <w:r>
        <w:rPr>
          <w:rFonts w:hint="eastAsia"/>
          <w:color w:val="auto"/>
          <w:highlight w:val="none"/>
          <w:lang w:val="en-US" w:eastAsia="zh-CN"/>
        </w:rPr>
        <w:t>旱地</w:t>
      </w:r>
      <w:r>
        <w:rPr>
          <w:rFonts w:hint="eastAsia"/>
          <w:color w:val="auto"/>
          <w:highlight w:val="none"/>
          <w:lang w:eastAsia="zh-CN"/>
        </w:rPr>
        <w:t>）</w:t>
      </w:r>
      <w:r>
        <w:rPr>
          <w:rFonts w:hint="eastAsia"/>
          <w:color w:val="auto"/>
          <w:highlight w:val="none"/>
          <w:lang w:val="en-US" w:eastAsia="zh-CN"/>
        </w:rPr>
        <w:t>459.69亩</w:t>
      </w:r>
      <w:r>
        <w:rPr>
          <w:rFonts w:hint="eastAsia"/>
          <w:color w:val="auto"/>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54" w:leftChars="0" w:firstLine="226" w:firstLineChars="0"/>
        <w:textAlignment w:val="auto"/>
        <w:rPr>
          <w:rFonts w:hint="eastAsia"/>
          <w:color w:val="auto"/>
          <w:highlight w:val="none"/>
          <w:lang w:val="en-US" w:eastAsia="zh-CN"/>
        </w:rPr>
      </w:pPr>
      <w:r>
        <w:rPr>
          <w:rFonts w:hint="eastAsia"/>
          <w:color w:val="auto"/>
          <w:highlight w:val="none"/>
          <w:lang w:val="en-US" w:eastAsia="zh-CN"/>
        </w:rPr>
        <w:t>项目区不存在违法用地，不在生态保护红线范围内，耕地坡度不超过1</w:t>
      </w:r>
      <w:r>
        <w:rPr>
          <w:rFonts w:hint="default"/>
          <w:color w:val="auto"/>
          <w:highlight w:val="none"/>
          <w:lang w:val="en-US" w:eastAsia="zh-CN"/>
        </w:rPr>
        <w:t>5°</w:t>
      </w:r>
      <w:r>
        <w:rPr>
          <w:rFonts w:hint="eastAsia"/>
          <w:color w:val="auto"/>
          <w:highlight w:val="none"/>
          <w:lang w:val="en-US" w:eastAsia="zh-CN"/>
        </w:rPr>
        <w:t>，符合村庄规划：</w:t>
      </w:r>
    </w:p>
    <w:p>
      <w:pPr>
        <w:pageBreakBefore w:val="0"/>
        <w:widowControl w:val="0"/>
        <w:numPr>
          <w:ilvl w:val="0"/>
          <w:numId w:val="3"/>
        </w:numPr>
        <w:kinsoku/>
        <w:wordWrap/>
        <w:overflowPunct/>
        <w:topLinePunct w:val="0"/>
        <w:autoSpaceDE/>
        <w:autoSpaceDN/>
        <w:bidi w:val="0"/>
        <w:adjustRightInd/>
        <w:snapToGrid/>
        <w:spacing w:line="480" w:lineRule="exact"/>
        <w:ind w:left="0" w:leftChars="0" w:firstLine="560" w:firstLineChars="200"/>
        <w:textAlignment w:val="auto"/>
        <w:rPr>
          <w:color w:val="auto"/>
          <w:highlight w:val="none"/>
        </w:rPr>
      </w:pPr>
      <w:r>
        <w:rPr>
          <w:rFonts w:hint="eastAsia"/>
          <w:color w:val="auto"/>
          <w:highlight w:val="none"/>
          <w:lang w:val="en-US" w:eastAsia="zh-CN"/>
        </w:rPr>
        <w:t>和林格尔县巧什营镇岱洲窑村村庄</w:t>
      </w:r>
      <w:r>
        <w:rPr>
          <w:color w:val="auto"/>
          <w:highlight w:val="none"/>
        </w:rPr>
        <w:t>规划（202</w:t>
      </w:r>
      <w:r>
        <w:rPr>
          <w:rFonts w:hint="eastAsia"/>
          <w:color w:val="auto"/>
          <w:highlight w:val="none"/>
          <w:lang w:val="en-US" w:eastAsia="zh-CN"/>
        </w:rPr>
        <w:t>1</w:t>
      </w:r>
      <w:r>
        <w:rPr>
          <w:color w:val="auto"/>
          <w:highlight w:val="none"/>
        </w:rPr>
        <w:t>-2035年）；</w:t>
      </w:r>
    </w:p>
    <w:p>
      <w:pPr>
        <w:pageBreakBefore w:val="0"/>
        <w:widowControl w:val="0"/>
        <w:numPr>
          <w:ilvl w:val="0"/>
          <w:numId w:val="3"/>
        </w:numPr>
        <w:kinsoku/>
        <w:wordWrap/>
        <w:overflowPunct/>
        <w:topLinePunct w:val="0"/>
        <w:autoSpaceDE/>
        <w:autoSpaceDN/>
        <w:bidi w:val="0"/>
        <w:adjustRightInd/>
        <w:snapToGrid/>
        <w:spacing w:line="480" w:lineRule="exact"/>
        <w:ind w:left="0" w:leftChars="0" w:firstLine="560" w:firstLineChars="200"/>
        <w:textAlignment w:val="auto"/>
        <w:rPr>
          <w:color w:val="auto"/>
          <w:highlight w:val="none"/>
        </w:rPr>
      </w:pPr>
      <w:r>
        <w:rPr>
          <w:rFonts w:hint="eastAsia"/>
          <w:color w:val="auto"/>
          <w:highlight w:val="none"/>
          <w:lang w:val="en-US" w:eastAsia="zh-CN"/>
        </w:rPr>
        <w:t>和林格尔县巧什营镇巴尔旦营村村庄</w:t>
      </w:r>
      <w:r>
        <w:rPr>
          <w:color w:val="auto"/>
          <w:highlight w:val="none"/>
        </w:rPr>
        <w:t>规划（202</w:t>
      </w:r>
      <w:r>
        <w:rPr>
          <w:rFonts w:hint="eastAsia"/>
          <w:color w:val="auto"/>
          <w:highlight w:val="none"/>
          <w:lang w:val="en-US" w:eastAsia="zh-CN"/>
        </w:rPr>
        <w:t>1</w:t>
      </w:r>
      <w:r>
        <w:rPr>
          <w:color w:val="auto"/>
          <w:highlight w:val="none"/>
        </w:rPr>
        <w:t>-2035年）；</w:t>
      </w:r>
    </w:p>
    <w:p>
      <w:pPr>
        <w:pageBreakBefore w:val="0"/>
        <w:widowControl w:val="0"/>
        <w:numPr>
          <w:ilvl w:val="0"/>
          <w:numId w:val="3"/>
        </w:numPr>
        <w:kinsoku/>
        <w:wordWrap/>
        <w:overflowPunct/>
        <w:topLinePunct w:val="0"/>
        <w:autoSpaceDE/>
        <w:autoSpaceDN/>
        <w:bidi w:val="0"/>
        <w:adjustRightInd/>
        <w:snapToGrid/>
        <w:spacing w:line="480" w:lineRule="exact"/>
        <w:ind w:left="0" w:leftChars="0" w:firstLine="560" w:firstLineChars="200"/>
        <w:textAlignment w:val="auto"/>
        <w:rPr>
          <w:color w:val="auto"/>
          <w:highlight w:val="none"/>
        </w:rPr>
      </w:pPr>
      <w:r>
        <w:rPr>
          <w:rFonts w:hint="eastAsia"/>
          <w:color w:val="auto"/>
          <w:highlight w:val="none"/>
          <w:lang w:val="en-US" w:eastAsia="zh-CN"/>
        </w:rPr>
        <w:t>和林格尔县巧什营镇一间房村村庄</w:t>
      </w:r>
      <w:r>
        <w:rPr>
          <w:color w:val="auto"/>
          <w:highlight w:val="none"/>
        </w:rPr>
        <w:t>规划（202</w:t>
      </w:r>
      <w:r>
        <w:rPr>
          <w:rFonts w:hint="eastAsia"/>
          <w:color w:val="auto"/>
          <w:highlight w:val="none"/>
          <w:lang w:val="en-US" w:eastAsia="zh-CN"/>
        </w:rPr>
        <w:t>1</w:t>
      </w:r>
      <w:r>
        <w:rPr>
          <w:color w:val="auto"/>
          <w:highlight w:val="none"/>
        </w:rPr>
        <w:t>-2035年）；</w:t>
      </w:r>
    </w:p>
    <w:p>
      <w:pPr>
        <w:pStyle w:val="3"/>
        <w:bidi w:val="0"/>
        <w:rPr>
          <w:highlight w:val="none"/>
        </w:rPr>
      </w:pPr>
      <w:bookmarkStart w:id="56" w:name="_Toc19195"/>
      <w:bookmarkStart w:id="57" w:name="_Toc24179"/>
      <w:bookmarkStart w:id="58" w:name="_Toc1416"/>
      <w:r>
        <w:rPr>
          <w:highlight w:val="none"/>
        </w:rPr>
        <w:t>2.2 项目区所在地概况</w:t>
      </w:r>
      <w:bookmarkEnd w:id="56"/>
      <w:bookmarkEnd w:id="57"/>
      <w:bookmarkEnd w:id="58"/>
    </w:p>
    <w:p>
      <w:pPr>
        <w:pStyle w:val="5"/>
        <w:bidi w:val="0"/>
        <w:rPr>
          <w:color w:val="auto"/>
          <w:highlight w:val="none"/>
        </w:rPr>
      </w:pPr>
      <w:bookmarkStart w:id="59" w:name="_Toc213845330"/>
      <w:bookmarkStart w:id="60" w:name="_Toc230680448"/>
      <w:r>
        <w:rPr>
          <w:color w:val="auto"/>
          <w:highlight w:val="none"/>
        </w:rPr>
        <w:t>2.2.1 自然概况</w:t>
      </w:r>
    </w:p>
    <w:p>
      <w:pPr>
        <w:bidi w:val="0"/>
        <w:rPr>
          <w:b/>
          <w:bCs/>
          <w:color w:val="auto"/>
          <w:highlight w:val="none"/>
        </w:rPr>
      </w:pPr>
      <w:r>
        <w:rPr>
          <w:b/>
          <w:bCs/>
          <w:color w:val="auto"/>
          <w:highlight w:val="none"/>
        </w:rPr>
        <w:t>1、地理位置</w:t>
      </w:r>
    </w:p>
    <w:p>
      <w:pPr>
        <w:bidi w:val="0"/>
        <w:ind w:firstLine="560" w:firstLineChars="200"/>
        <w:rPr>
          <w:rFonts w:hint="eastAsia"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和林格尔县位于</w:t>
      </w:r>
      <w:r>
        <w:rPr>
          <w:rFonts w:hint="default" w:ascii="Times New Roman" w:hAnsi="Times New Roman" w:cs="Times New Roman"/>
          <w:color w:val="auto"/>
          <w:highlight w:val="none"/>
          <w:lang w:eastAsia="zh-CN"/>
        </w:rPr>
        <w:fldChar w:fldCharType="begin"/>
      </w:r>
      <w:r>
        <w:rPr>
          <w:rFonts w:hint="default" w:ascii="Times New Roman" w:hAnsi="Times New Roman" w:cs="Times New Roman"/>
          <w:color w:val="auto"/>
          <w:highlight w:val="none"/>
          <w:lang w:eastAsia="zh-CN"/>
        </w:rPr>
        <w:instrText xml:space="preserve"> HYPERLINK "https://baike.baidu.com/item/%E5%86%85%E8%92%99%E5%8F%A4%E8%87%AA%E6%B2%BB%E5%8C%BA/49872215?fromModule=lemma_inlink" \t "https://baike.baidu.com/item/%E5%92%8C%E6%9E%97%E6%A0%BC%E5%B0%94%E5%8E%BF/_blank" </w:instrText>
      </w:r>
      <w:r>
        <w:rPr>
          <w:rFonts w:hint="default" w:ascii="Times New Roman" w:hAnsi="Times New Roman" w:cs="Times New Roman"/>
          <w:color w:val="auto"/>
          <w:highlight w:val="none"/>
          <w:lang w:eastAsia="zh-CN"/>
        </w:rPr>
        <w:fldChar w:fldCharType="separate"/>
      </w:r>
      <w:r>
        <w:rPr>
          <w:rFonts w:hint="default" w:ascii="Times New Roman" w:hAnsi="Times New Roman" w:cs="Times New Roman"/>
          <w:color w:val="auto"/>
          <w:highlight w:val="none"/>
          <w:lang w:eastAsia="zh-CN"/>
        </w:rPr>
        <w:t>内蒙古自治区</w:t>
      </w:r>
      <w:r>
        <w:rPr>
          <w:rFonts w:hint="default" w:ascii="Times New Roman" w:hAnsi="Times New Roman" w:cs="Times New Roman"/>
          <w:color w:val="auto"/>
          <w:highlight w:val="none"/>
          <w:lang w:eastAsia="zh-CN"/>
        </w:rPr>
        <w:fldChar w:fldCharType="end"/>
      </w:r>
      <w:r>
        <w:rPr>
          <w:rFonts w:hint="default" w:ascii="Times New Roman" w:hAnsi="Times New Roman" w:cs="Times New Roman"/>
          <w:color w:val="auto"/>
          <w:highlight w:val="none"/>
          <w:lang w:eastAsia="zh-CN"/>
        </w:rPr>
        <w:t>中南部、</w:t>
      </w:r>
      <w:r>
        <w:rPr>
          <w:rFonts w:hint="default" w:ascii="Times New Roman" w:hAnsi="Times New Roman" w:cs="Times New Roman"/>
          <w:color w:val="auto"/>
          <w:highlight w:val="none"/>
          <w:lang w:eastAsia="zh-CN"/>
        </w:rPr>
        <w:fldChar w:fldCharType="begin"/>
      </w:r>
      <w:r>
        <w:rPr>
          <w:rFonts w:hint="default" w:ascii="Times New Roman" w:hAnsi="Times New Roman" w:cs="Times New Roman"/>
          <w:color w:val="auto"/>
          <w:highlight w:val="none"/>
          <w:lang w:eastAsia="zh-CN"/>
        </w:rPr>
        <w:instrText xml:space="preserve"> HYPERLINK "https://baike.baidu.com/item/%E5%91%BC%E5%92%8C%E6%B5%A9%E7%89%B9%E5%B8%82/1275232?fromModule=lemma_inlink" \t "https://baike.baidu.com/item/%E5%92%8C%E6%9E%97%E6%A0%BC%E5%B0%94%E5%8E%BF/_blank" </w:instrText>
      </w:r>
      <w:r>
        <w:rPr>
          <w:rFonts w:hint="default" w:ascii="Times New Roman" w:hAnsi="Times New Roman" w:cs="Times New Roman"/>
          <w:color w:val="auto"/>
          <w:highlight w:val="none"/>
          <w:lang w:eastAsia="zh-CN"/>
        </w:rPr>
        <w:fldChar w:fldCharType="separate"/>
      </w:r>
      <w:r>
        <w:rPr>
          <w:rFonts w:hint="default" w:ascii="Times New Roman" w:hAnsi="Times New Roman" w:cs="Times New Roman"/>
          <w:color w:val="auto"/>
          <w:highlight w:val="none"/>
          <w:lang w:eastAsia="zh-CN"/>
        </w:rPr>
        <w:t>呼和浩特市</w:t>
      </w:r>
      <w:r>
        <w:rPr>
          <w:rFonts w:hint="default" w:ascii="Times New Roman" w:hAnsi="Times New Roman" w:cs="Times New Roman"/>
          <w:color w:val="auto"/>
          <w:highlight w:val="none"/>
          <w:lang w:eastAsia="zh-CN"/>
        </w:rPr>
        <w:fldChar w:fldCharType="end"/>
      </w:r>
      <w:r>
        <w:rPr>
          <w:rFonts w:hint="default" w:ascii="Times New Roman" w:hAnsi="Times New Roman" w:cs="Times New Roman"/>
          <w:color w:val="auto"/>
          <w:highlight w:val="none"/>
          <w:lang w:eastAsia="zh-CN"/>
        </w:rPr>
        <w:t>东南部，介于北纬39°58′—40°41′、东经111°26′—112°18′之间，毗邻7个旗、县（区），北靠</w:t>
      </w:r>
      <w:r>
        <w:rPr>
          <w:rFonts w:hint="default" w:ascii="Times New Roman" w:hAnsi="Times New Roman" w:cs="Times New Roman"/>
          <w:color w:val="auto"/>
          <w:highlight w:val="none"/>
          <w:lang w:eastAsia="zh-CN"/>
        </w:rPr>
        <w:fldChar w:fldCharType="begin"/>
      </w:r>
      <w:r>
        <w:rPr>
          <w:rFonts w:hint="default" w:ascii="Times New Roman" w:hAnsi="Times New Roman" w:cs="Times New Roman"/>
          <w:color w:val="auto"/>
          <w:highlight w:val="none"/>
          <w:lang w:eastAsia="zh-CN"/>
        </w:rPr>
        <w:instrText xml:space="preserve"> HYPERLINK "https://baike.baidu.com/item/%E8%B5%9B%E7%BD%95%E5%8C%BA/8750943?fromModule=lemma_inlink" \t "https://baike.baidu.com/item/%E5%92%8C%E6%9E%97%E6%A0%BC%E5%B0%94%E5%8E%BF/_blank" </w:instrText>
      </w:r>
      <w:r>
        <w:rPr>
          <w:rFonts w:hint="default" w:ascii="Times New Roman" w:hAnsi="Times New Roman" w:cs="Times New Roman"/>
          <w:color w:val="auto"/>
          <w:highlight w:val="none"/>
          <w:lang w:eastAsia="zh-CN"/>
        </w:rPr>
        <w:fldChar w:fldCharType="separate"/>
      </w:r>
      <w:r>
        <w:rPr>
          <w:rFonts w:hint="default" w:ascii="Times New Roman" w:hAnsi="Times New Roman" w:cs="Times New Roman"/>
          <w:color w:val="auto"/>
          <w:highlight w:val="none"/>
          <w:lang w:eastAsia="zh-CN"/>
        </w:rPr>
        <w:t>赛罕区</w:t>
      </w:r>
      <w:r>
        <w:rPr>
          <w:rFonts w:hint="default" w:ascii="Times New Roman" w:hAnsi="Times New Roman" w:cs="Times New Roman"/>
          <w:color w:val="auto"/>
          <w:highlight w:val="none"/>
          <w:lang w:eastAsia="zh-CN"/>
        </w:rPr>
        <w:fldChar w:fldCharType="end"/>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fldChar w:fldCharType="begin"/>
      </w:r>
      <w:r>
        <w:rPr>
          <w:rFonts w:hint="default" w:ascii="Times New Roman" w:hAnsi="Times New Roman" w:cs="Times New Roman"/>
          <w:color w:val="auto"/>
          <w:highlight w:val="none"/>
          <w:lang w:eastAsia="zh-CN"/>
        </w:rPr>
        <w:instrText xml:space="preserve"> HYPERLINK "https://baike.baidu.com/item/%E5%9C%9F%E9%BB%98%E7%89%B9%E5%B7%A6%E6%97%97/5798883?fromModule=lemma_inlink" \t "https://baike.baidu.com/item/%E5%92%8C%E6%9E%97%E6%A0%BC%E5%B0%94%E5%8E%BF/_blank" </w:instrText>
      </w:r>
      <w:r>
        <w:rPr>
          <w:rFonts w:hint="default" w:ascii="Times New Roman" w:hAnsi="Times New Roman" w:cs="Times New Roman"/>
          <w:color w:val="auto"/>
          <w:highlight w:val="none"/>
          <w:lang w:eastAsia="zh-CN"/>
        </w:rPr>
        <w:fldChar w:fldCharType="separate"/>
      </w:r>
      <w:r>
        <w:rPr>
          <w:rFonts w:hint="default" w:ascii="Times New Roman" w:hAnsi="Times New Roman" w:cs="Times New Roman"/>
          <w:color w:val="auto"/>
          <w:highlight w:val="none"/>
          <w:lang w:eastAsia="zh-CN"/>
        </w:rPr>
        <w:t>土默特左旗</w:t>
      </w:r>
      <w:r>
        <w:rPr>
          <w:rFonts w:hint="default" w:ascii="Times New Roman" w:hAnsi="Times New Roman" w:cs="Times New Roman"/>
          <w:color w:val="auto"/>
          <w:highlight w:val="none"/>
          <w:lang w:eastAsia="zh-CN"/>
        </w:rPr>
        <w:fldChar w:fldCharType="end"/>
      </w:r>
      <w:r>
        <w:rPr>
          <w:rFonts w:hint="default" w:ascii="Times New Roman" w:hAnsi="Times New Roman" w:cs="Times New Roman"/>
          <w:color w:val="auto"/>
          <w:highlight w:val="none"/>
          <w:lang w:eastAsia="zh-CN"/>
        </w:rPr>
        <w:t>，西连</w:t>
      </w:r>
      <w:r>
        <w:rPr>
          <w:rFonts w:hint="default" w:ascii="Times New Roman" w:hAnsi="Times New Roman" w:cs="Times New Roman"/>
          <w:color w:val="auto"/>
          <w:highlight w:val="none"/>
          <w:lang w:eastAsia="zh-CN"/>
        </w:rPr>
        <w:fldChar w:fldCharType="begin"/>
      </w:r>
      <w:r>
        <w:rPr>
          <w:rFonts w:hint="default" w:ascii="Times New Roman" w:hAnsi="Times New Roman" w:cs="Times New Roman"/>
          <w:color w:val="auto"/>
          <w:highlight w:val="none"/>
          <w:lang w:eastAsia="zh-CN"/>
        </w:rPr>
        <w:instrText xml:space="preserve"> HYPERLINK "https://baike.baidu.com/item/%E6%89%98%E5%85%8B%E6%89%98%E5%8E%BF/5705672?fromModule=lemma_inlink" \t "https://baike.baidu.com/item/%E5%92%8C%E6%9E%97%E6%A0%BC%E5%B0%94%E5%8E%BF/_blank" </w:instrText>
      </w:r>
      <w:r>
        <w:rPr>
          <w:rFonts w:hint="default" w:ascii="Times New Roman" w:hAnsi="Times New Roman" w:cs="Times New Roman"/>
          <w:color w:val="auto"/>
          <w:highlight w:val="none"/>
          <w:lang w:eastAsia="zh-CN"/>
        </w:rPr>
        <w:fldChar w:fldCharType="separate"/>
      </w:r>
      <w:r>
        <w:rPr>
          <w:rFonts w:hint="default" w:ascii="Times New Roman" w:hAnsi="Times New Roman" w:cs="Times New Roman"/>
          <w:color w:val="auto"/>
          <w:highlight w:val="none"/>
          <w:lang w:eastAsia="zh-CN"/>
        </w:rPr>
        <w:t>托克托县</w:t>
      </w:r>
      <w:r>
        <w:rPr>
          <w:rFonts w:hint="default" w:ascii="Times New Roman" w:hAnsi="Times New Roman" w:cs="Times New Roman"/>
          <w:color w:val="auto"/>
          <w:highlight w:val="none"/>
          <w:lang w:eastAsia="zh-CN"/>
        </w:rPr>
        <w:fldChar w:fldCharType="end"/>
      </w:r>
      <w:r>
        <w:rPr>
          <w:rFonts w:hint="default" w:ascii="Times New Roman" w:hAnsi="Times New Roman" w:cs="Times New Roman"/>
          <w:color w:val="auto"/>
          <w:highlight w:val="none"/>
          <w:lang w:eastAsia="zh-CN"/>
        </w:rPr>
        <w:t>，南接</w:t>
      </w:r>
      <w:r>
        <w:rPr>
          <w:rFonts w:hint="default" w:ascii="Times New Roman" w:hAnsi="Times New Roman" w:cs="Times New Roman"/>
          <w:color w:val="auto"/>
          <w:highlight w:val="none"/>
          <w:lang w:eastAsia="zh-CN"/>
        </w:rPr>
        <w:fldChar w:fldCharType="begin"/>
      </w:r>
      <w:r>
        <w:rPr>
          <w:rFonts w:hint="default" w:ascii="Times New Roman" w:hAnsi="Times New Roman" w:cs="Times New Roman"/>
          <w:color w:val="auto"/>
          <w:highlight w:val="none"/>
          <w:lang w:eastAsia="zh-CN"/>
        </w:rPr>
        <w:instrText xml:space="preserve"> HYPERLINK "https://baike.baidu.com/item/%E6%B8%85%E6%B0%B4%E6%B2%B3%E5%8E%BF/3456837?fromModule=lemma_inlink" \t "https://baike.baidu.com/item/%E5%92%8C%E6%9E%97%E6%A0%BC%E5%B0%94%E5%8E%BF/_blank" </w:instrText>
      </w:r>
      <w:r>
        <w:rPr>
          <w:rFonts w:hint="default" w:ascii="Times New Roman" w:hAnsi="Times New Roman" w:cs="Times New Roman"/>
          <w:color w:val="auto"/>
          <w:highlight w:val="none"/>
          <w:lang w:eastAsia="zh-CN"/>
        </w:rPr>
        <w:fldChar w:fldCharType="separate"/>
      </w:r>
      <w:r>
        <w:rPr>
          <w:rFonts w:hint="default" w:ascii="Times New Roman" w:hAnsi="Times New Roman" w:cs="Times New Roman"/>
          <w:color w:val="auto"/>
          <w:highlight w:val="none"/>
          <w:lang w:eastAsia="zh-CN"/>
        </w:rPr>
        <w:t>清水河县</w:t>
      </w:r>
      <w:r>
        <w:rPr>
          <w:rFonts w:hint="default" w:ascii="Times New Roman" w:hAnsi="Times New Roman" w:cs="Times New Roman"/>
          <w:color w:val="auto"/>
          <w:highlight w:val="none"/>
          <w:lang w:eastAsia="zh-CN"/>
        </w:rPr>
        <w:fldChar w:fldCharType="end"/>
      </w:r>
      <w:r>
        <w:rPr>
          <w:rFonts w:hint="default" w:ascii="Times New Roman" w:hAnsi="Times New Roman" w:cs="Times New Roman"/>
          <w:color w:val="auto"/>
          <w:highlight w:val="none"/>
          <w:lang w:eastAsia="zh-CN"/>
        </w:rPr>
        <w:t>，东与乌兰察布市</w:t>
      </w:r>
      <w:r>
        <w:rPr>
          <w:rFonts w:hint="default" w:ascii="Times New Roman" w:hAnsi="Times New Roman" w:cs="Times New Roman"/>
          <w:color w:val="auto"/>
          <w:highlight w:val="none"/>
          <w:lang w:eastAsia="zh-CN"/>
        </w:rPr>
        <w:fldChar w:fldCharType="begin"/>
      </w:r>
      <w:r>
        <w:rPr>
          <w:rFonts w:hint="default" w:ascii="Times New Roman" w:hAnsi="Times New Roman" w:cs="Times New Roman"/>
          <w:color w:val="auto"/>
          <w:highlight w:val="none"/>
          <w:lang w:eastAsia="zh-CN"/>
        </w:rPr>
        <w:instrText xml:space="preserve"> HYPERLINK "https://baike.baidu.com/item/%E5%87%89%E5%9F%8E%E5%8E%BF/7611702?fromModule=lemma_inlink" \t "https://baike.baidu.com/item/%E5%92%8C%E6%9E%97%E6%A0%BC%E5%B0%94%E5%8E%BF/_blank" </w:instrText>
      </w:r>
      <w:r>
        <w:rPr>
          <w:rFonts w:hint="default" w:ascii="Times New Roman" w:hAnsi="Times New Roman" w:cs="Times New Roman"/>
          <w:color w:val="auto"/>
          <w:highlight w:val="none"/>
          <w:lang w:eastAsia="zh-CN"/>
        </w:rPr>
        <w:fldChar w:fldCharType="separate"/>
      </w:r>
      <w:r>
        <w:rPr>
          <w:rFonts w:hint="default" w:ascii="Times New Roman" w:hAnsi="Times New Roman" w:cs="Times New Roman"/>
          <w:color w:val="auto"/>
          <w:highlight w:val="none"/>
          <w:lang w:eastAsia="zh-CN"/>
        </w:rPr>
        <w:t>凉城县</w:t>
      </w:r>
      <w:r>
        <w:rPr>
          <w:rFonts w:hint="default" w:ascii="Times New Roman" w:hAnsi="Times New Roman" w:cs="Times New Roman"/>
          <w:color w:val="auto"/>
          <w:highlight w:val="none"/>
          <w:lang w:eastAsia="zh-CN"/>
        </w:rPr>
        <w:fldChar w:fldCharType="end"/>
      </w:r>
      <w:r>
        <w:rPr>
          <w:rFonts w:hint="default" w:ascii="Times New Roman" w:hAnsi="Times New Roman" w:cs="Times New Roman"/>
          <w:color w:val="auto"/>
          <w:highlight w:val="none"/>
          <w:lang w:eastAsia="zh-CN"/>
        </w:rPr>
        <w:t>和山西省朔州市</w:t>
      </w:r>
      <w:r>
        <w:rPr>
          <w:rFonts w:hint="default" w:ascii="Times New Roman" w:hAnsi="Times New Roman" w:cs="Times New Roman"/>
          <w:color w:val="auto"/>
          <w:highlight w:val="none"/>
          <w:lang w:eastAsia="zh-CN"/>
        </w:rPr>
        <w:fldChar w:fldCharType="begin"/>
      </w:r>
      <w:r>
        <w:rPr>
          <w:rFonts w:hint="default" w:ascii="Times New Roman" w:hAnsi="Times New Roman" w:cs="Times New Roman"/>
          <w:color w:val="auto"/>
          <w:highlight w:val="none"/>
          <w:lang w:eastAsia="zh-CN"/>
        </w:rPr>
        <w:instrText xml:space="preserve"> HYPERLINK "https://baike.baidu.com/item/%E5%B9%B3%E9%B2%81%E5%8C%BA/9500271?fromModule=lemma_inlink" \t "https://baike.baidu.com/item/%E5%92%8C%E6%9E%97%E6%A0%BC%E5%B0%94%E5%8E%BF/_blank" </w:instrText>
      </w:r>
      <w:r>
        <w:rPr>
          <w:rFonts w:hint="default" w:ascii="Times New Roman" w:hAnsi="Times New Roman" w:cs="Times New Roman"/>
          <w:color w:val="auto"/>
          <w:highlight w:val="none"/>
          <w:lang w:eastAsia="zh-CN"/>
        </w:rPr>
        <w:fldChar w:fldCharType="separate"/>
      </w:r>
      <w:r>
        <w:rPr>
          <w:rFonts w:hint="default" w:ascii="Times New Roman" w:hAnsi="Times New Roman" w:cs="Times New Roman"/>
          <w:color w:val="auto"/>
          <w:highlight w:val="none"/>
          <w:lang w:eastAsia="zh-CN"/>
        </w:rPr>
        <w:t>平鲁区</w:t>
      </w:r>
      <w:r>
        <w:rPr>
          <w:rFonts w:hint="default" w:ascii="Times New Roman" w:hAnsi="Times New Roman" w:cs="Times New Roman"/>
          <w:color w:val="auto"/>
          <w:highlight w:val="none"/>
          <w:lang w:eastAsia="zh-CN"/>
        </w:rPr>
        <w:fldChar w:fldCharType="end"/>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fldChar w:fldCharType="begin"/>
      </w:r>
      <w:r>
        <w:rPr>
          <w:rFonts w:hint="default" w:ascii="Times New Roman" w:hAnsi="Times New Roman" w:cs="Times New Roman"/>
          <w:color w:val="auto"/>
          <w:highlight w:val="none"/>
          <w:lang w:eastAsia="zh-CN"/>
        </w:rPr>
        <w:instrText xml:space="preserve"> HYPERLINK "https://baike.baidu.com/item/%E5%8F%B3%E7%8E%89%E5%8E%BF/2948823?fromModule=lemma_inlink" \t "https://baike.baidu.com/item/%E5%92%8C%E6%9E%97%E6%A0%BC%E5%B0%94%E5%8E%BF/_blank" </w:instrText>
      </w:r>
      <w:r>
        <w:rPr>
          <w:rFonts w:hint="default" w:ascii="Times New Roman" w:hAnsi="Times New Roman" w:cs="Times New Roman"/>
          <w:color w:val="auto"/>
          <w:highlight w:val="none"/>
          <w:lang w:eastAsia="zh-CN"/>
        </w:rPr>
        <w:fldChar w:fldCharType="separate"/>
      </w:r>
      <w:r>
        <w:rPr>
          <w:rFonts w:hint="default" w:ascii="Times New Roman" w:hAnsi="Times New Roman" w:cs="Times New Roman"/>
          <w:color w:val="auto"/>
          <w:highlight w:val="none"/>
          <w:lang w:eastAsia="zh-CN"/>
        </w:rPr>
        <w:t>右玉县</w:t>
      </w:r>
      <w:r>
        <w:rPr>
          <w:rFonts w:hint="default" w:ascii="Times New Roman" w:hAnsi="Times New Roman" w:cs="Times New Roman"/>
          <w:color w:val="auto"/>
          <w:highlight w:val="none"/>
          <w:lang w:eastAsia="zh-CN"/>
        </w:rPr>
        <w:fldChar w:fldCharType="end"/>
      </w:r>
      <w:r>
        <w:rPr>
          <w:rFonts w:hint="default" w:ascii="Times New Roman" w:hAnsi="Times New Roman" w:cs="Times New Roman"/>
          <w:color w:val="auto"/>
          <w:highlight w:val="none"/>
          <w:lang w:eastAsia="zh-CN"/>
        </w:rPr>
        <w:t>毗邻</w:t>
      </w:r>
      <w:r>
        <w:rPr>
          <w:rFonts w:hint="eastAsia" w:ascii="Times New Roman" w:hAnsi="Times New Roman" w:cs="Times New Roman"/>
          <w:color w:val="auto"/>
          <w:highlight w:val="none"/>
          <w:lang w:eastAsia="zh-CN"/>
        </w:rPr>
        <w:t>。</w:t>
      </w:r>
    </w:p>
    <w:p>
      <w:pPr>
        <w:bidi w:val="0"/>
        <w:ind w:firstLine="1044"/>
        <w:rPr>
          <w:rFonts w:ascii="Times New Roman" w:hAnsi="Times New Roman" w:cs="Times New Roman"/>
          <w:b/>
          <w:bCs/>
          <w:color w:val="auto"/>
          <w:highlight w:val="none"/>
        </w:rPr>
      </w:pPr>
      <w:bookmarkStart w:id="61" w:name="_Toc7617"/>
      <w:bookmarkStart w:id="62" w:name="_Toc271211285"/>
      <w:bookmarkStart w:id="63" w:name="_Toc25576"/>
      <w:bookmarkStart w:id="64" w:name="_Toc27203"/>
      <w:bookmarkStart w:id="65" w:name="_Toc231523446"/>
      <w:bookmarkStart w:id="66" w:name="_Toc240444086"/>
      <w:bookmarkStart w:id="67" w:name="_Toc240433771"/>
      <w:bookmarkStart w:id="68" w:name="_Toc231028591"/>
      <w:r>
        <w:rPr>
          <w:rFonts w:ascii="Times New Roman" w:hAnsi="Times New Roman" w:cs="Times New Roman"/>
          <w:b/>
          <w:bCs/>
          <w:color w:val="auto"/>
          <w:highlight w:val="none"/>
        </w:rPr>
        <w:t>2、地形地貌</w:t>
      </w:r>
      <w:bookmarkEnd w:id="61"/>
      <w:bookmarkEnd w:id="62"/>
      <w:bookmarkEnd w:id="63"/>
      <w:bookmarkEnd w:id="64"/>
      <w:bookmarkEnd w:id="65"/>
      <w:bookmarkEnd w:id="66"/>
      <w:bookmarkEnd w:id="67"/>
      <w:bookmarkEnd w:id="68"/>
    </w:p>
    <w:p>
      <w:pPr>
        <w:bidi w:val="0"/>
        <w:ind w:firstLine="560" w:firstLineChars="200"/>
        <w:rPr>
          <w:rFonts w:hint="default" w:ascii="Times New Roman" w:hAnsi="Times New Roman" w:cs="Times New Roman"/>
          <w:color w:val="auto"/>
          <w:highlight w:val="none"/>
          <w:lang w:eastAsia="zh-CN"/>
        </w:rPr>
      </w:pPr>
      <w:bookmarkStart w:id="69" w:name="_Toc1504"/>
      <w:bookmarkStart w:id="70" w:name="_Toc231523447"/>
      <w:bookmarkStart w:id="71" w:name="_Toc231028592"/>
      <w:bookmarkStart w:id="72" w:name="_Toc271211286"/>
      <w:bookmarkStart w:id="73" w:name="_Toc240444087"/>
      <w:bookmarkStart w:id="74" w:name="_Toc240433772"/>
      <w:bookmarkStart w:id="75" w:name="_Toc27872"/>
      <w:bookmarkStart w:id="76" w:name="_Toc7916"/>
      <w:r>
        <w:rPr>
          <w:rFonts w:ascii="Times New Roman" w:hAnsi="Times New Roman" w:cs="Times New Roman"/>
          <w:color w:val="auto"/>
          <w:highlight w:val="none"/>
        </w:rPr>
        <w:t>和林格尔县地处内蒙古高原向黄土高原的过渡地带，地形地貌多样，山、丘、川兼备，素有“五丘三山二分川”之说，东南部为蛮汉山支脉，中南部是黄土丘陵区，西北部属土默川平原的边缘，总体地形呈现东高西低、南高北低的态势，海拔高度为1016—2031米。</w:t>
      </w:r>
    </w:p>
    <w:p>
      <w:pPr>
        <w:bidi w:val="0"/>
        <w:ind w:firstLine="1044"/>
        <w:rPr>
          <w:rFonts w:ascii="Times New Roman" w:hAnsi="Times New Roman" w:cs="Times New Roman"/>
          <w:b/>
          <w:bCs/>
          <w:color w:val="auto"/>
          <w:highlight w:val="none"/>
        </w:rPr>
      </w:pPr>
      <w:r>
        <w:rPr>
          <w:rFonts w:ascii="Times New Roman" w:hAnsi="Times New Roman" w:cs="Times New Roman"/>
          <w:b/>
          <w:bCs/>
          <w:color w:val="auto"/>
          <w:highlight w:val="none"/>
        </w:rPr>
        <w:t>3、气候</w:t>
      </w:r>
      <w:bookmarkEnd w:id="69"/>
      <w:bookmarkEnd w:id="70"/>
      <w:bookmarkEnd w:id="71"/>
      <w:bookmarkEnd w:id="72"/>
      <w:bookmarkEnd w:id="73"/>
      <w:bookmarkEnd w:id="74"/>
      <w:bookmarkEnd w:id="75"/>
      <w:bookmarkEnd w:id="76"/>
    </w:p>
    <w:p>
      <w:pPr>
        <w:bidi w:val="0"/>
        <w:ind w:firstLine="560" w:firstLineChars="200"/>
        <w:rPr>
          <w:rFonts w:hint="eastAsia" w:ascii="Times New Roman" w:hAnsi="Times New Roman" w:cs="Times New Roman"/>
          <w:color w:val="auto"/>
          <w:highlight w:val="none"/>
          <w:lang w:eastAsia="zh-CN"/>
        </w:rPr>
      </w:pPr>
      <w:bookmarkStart w:id="77" w:name="_Toc240433773"/>
      <w:bookmarkStart w:id="78" w:name="_Toc18221"/>
      <w:bookmarkStart w:id="79" w:name="_Toc271211287"/>
      <w:bookmarkStart w:id="80" w:name="_Toc2970"/>
      <w:bookmarkStart w:id="81" w:name="_Toc18498"/>
      <w:bookmarkStart w:id="82" w:name="_Toc240444088"/>
      <w:bookmarkStart w:id="83" w:name="_Toc231523448"/>
      <w:bookmarkStart w:id="84" w:name="_Toc231028593"/>
      <w:r>
        <w:rPr>
          <w:rFonts w:ascii="Times New Roman" w:hAnsi="Times New Roman" w:cs="Times New Roman"/>
          <w:color w:val="auto"/>
          <w:highlight w:val="none"/>
        </w:rPr>
        <w:t>和林格尔县属于中温带半干旱大陆性季风气候，其主要特征是干旱、多风、寒冷，日光充足，温差大，冬季漫长而寒冷，夏季时短而温热，春季升温快，秋天降温烈，年平均气温在6.2℃左右。</w:t>
      </w:r>
    </w:p>
    <w:p>
      <w:pPr>
        <w:bidi w:val="0"/>
        <w:ind w:firstLine="1044"/>
        <w:rPr>
          <w:rFonts w:ascii="Times New Roman" w:hAnsi="Times New Roman" w:cs="Times New Roman"/>
          <w:b/>
          <w:bCs/>
          <w:color w:val="auto"/>
          <w:highlight w:val="none"/>
        </w:rPr>
      </w:pPr>
      <w:r>
        <w:rPr>
          <w:rFonts w:ascii="Times New Roman" w:hAnsi="Times New Roman" w:cs="Times New Roman"/>
          <w:b/>
          <w:bCs/>
          <w:color w:val="auto"/>
          <w:highlight w:val="none"/>
        </w:rPr>
        <w:t>4、土壤</w:t>
      </w:r>
      <w:bookmarkEnd w:id="77"/>
      <w:bookmarkEnd w:id="78"/>
      <w:bookmarkEnd w:id="79"/>
      <w:bookmarkEnd w:id="80"/>
      <w:bookmarkEnd w:id="81"/>
      <w:bookmarkEnd w:id="82"/>
      <w:bookmarkEnd w:id="83"/>
      <w:bookmarkEnd w:id="84"/>
    </w:p>
    <w:p>
      <w:pPr>
        <w:bidi w:val="0"/>
        <w:ind w:firstLine="560" w:firstLineChars="200"/>
        <w:rPr>
          <w:rFonts w:hint="eastAsia" w:ascii="Times New Roman" w:hAnsi="Times New Roman" w:cs="Times New Roman"/>
          <w:color w:val="auto"/>
          <w:highlight w:val="none"/>
          <w:lang w:eastAsia="zh-CN"/>
        </w:rPr>
      </w:pPr>
      <w:bookmarkStart w:id="85" w:name="_Toc231523449"/>
      <w:bookmarkStart w:id="86" w:name="_Toc271211288"/>
      <w:bookmarkStart w:id="87" w:name="_Toc240444089"/>
      <w:bookmarkStart w:id="88" w:name="_Toc240433774"/>
      <w:bookmarkStart w:id="89" w:name="_Toc231028594"/>
      <w:r>
        <w:rPr>
          <w:rFonts w:ascii="Times New Roman" w:hAnsi="Times New Roman" w:cs="Times New Roman"/>
          <w:color w:val="auto"/>
          <w:highlight w:val="none"/>
        </w:rPr>
        <w:t>栗褐土和灰褐土</w:t>
      </w:r>
      <w:r>
        <w:rPr>
          <w:rFonts w:hint="default" w:ascii="Times New Roman" w:hAnsi="Times New Roman" w:cs="Times New Roman"/>
          <w:color w:val="auto"/>
          <w:highlight w:val="none"/>
        </w:rPr>
        <w:t>为本县的主体土壤。栗褐土是本县分布面积最大的土类，占全县总土地面积63.4%。 由于自然因素的影响，腐殖质积累少，钙积层不明显，质地大多为砂壤和轻壤。 在山地丘陵区土层较薄，加之干旱、风蚀、水蚀严重，不适宜农耕，而宜于种草种树，兴林草保土肥田。在平原区，由于水利条件较好，其肥力较高，一般都宜农耕。</w:t>
      </w:r>
    </w:p>
    <w:p>
      <w:pPr>
        <w:bidi w:val="0"/>
        <w:ind w:firstLine="1044"/>
        <w:rPr>
          <w:rFonts w:ascii="Times New Roman" w:hAnsi="Times New Roman" w:cs="Times New Roman"/>
          <w:b/>
          <w:bCs/>
          <w:color w:val="auto"/>
          <w:highlight w:val="none"/>
        </w:rPr>
      </w:pPr>
      <w:bookmarkStart w:id="90" w:name="_Toc20364"/>
      <w:bookmarkStart w:id="91" w:name="_Toc27179"/>
      <w:bookmarkStart w:id="92" w:name="_Toc1719"/>
      <w:r>
        <w:rPr>
          <w:rFonts w:hint="eastAsia" w:ascii="Times New Roman" w:hAnsi="Times New Roman" w:cs="Times New Roman"/>
          <w:b/>
          <w:bCs/>
          <w:color w:val="auto"/>
          <w:highlight w:val="none"/>
          <w:lang w:val="en-US" w:eastAsia="zh-CN"/>
        </w:rPr>
        <w:t>5、</w:t>
      </w:r>
      <w:r>
        <w:rPr>
          <w:rFonts w:ascii="Times New Roman" w:hAnsi="Times New Roman" w:cs="Times New Roman"/>
          <w:b/>
          <w:bCs/>
          <w:color w:val="auto"/>
          <w:highlight w:val="none"/>
        </w:rPr>
        <w:t>水文</w:t>
      </w:r>
      <w:bookmarkEnd w:id="85"/>
      <w:bookmarkEnd w:id="86"/>
      <w:bookmarkEnd w:id="87"/>
      <w:bookmarkEnd w:id="88"/>
      <w:bookmarkEnd w:id="89"/>
      <w:bookmarkEnd w:id="90"/>
      <w:bookmarkEnd w:id="91"/>
      <w:bookmarkEnd w:id="92"/>
    </w:p>
    <w:p>
      <w:pPr>
        <w:bidi w:val="0"/>
        <w:ind w:firstLine="560" w:firstLineChars="20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河川径流量全县汇水面积2874.5公里²，县内多年平均年产水量1.63亿米³，多年平均径流量2.47亿米³，当P=50%，年经流量为2.30亿米³。地下水资源全县地下水综合补给量为2.44亿米³，多年平均地下水允许开采量1.81亿米³。 全县水资源总量为5.27亿米³，最大可采量为3.45亿米³。全县人均占有水量1974米³，低于全国和自治区的平均值。</w:t>
      </w:r>
    </w:p>
    <w:p>
      <w:pPr>
        <w:bidi w:val="0"/>
        <w:ind w:firstLine="1044"/>
        <w:rPr>
          <w:rFonts w:hint="eastAsia" w:ascii="Times New Roman" w:hAnsi="Times New Roman" w:cs="Times New Roman"/>
          <w:b/>
          <w:bCs/>
          <w:color w:val="auto"/>
          <w:highlight w:val="none"/>
          <w:lang w:val="en-US" w:eastAsia="zh-CN"/>
        </w:rPr>
      </w:pPr>
      <w:bookmarkStart w:id="93" w:name="_Toc240433775"/>
      <w:bookmarkStart w:id="94" w:name="_Toc231523450"/>
      <w:bookmarkStart w:id="95" w:name="_Toc240444090"/>
      <w:bookmarkStart w:id="96" w:name="_Toc231028595"/>
      <w:bookmarkStart w:id="97" w:name="_Toc271211289"/>
      <w:r>
        <w:rPr>
          <w:rFonts w:hint="eastAsia" w:ascii="Times New Roman" w:hAnsi="Times New Roman" w:cs="Times New Roman"/>
          <w:b/>
          <w:bCs/>
          <w:color w:val="auto"/>
          <w:highlight w:val="none"/>
          <w:lang w:val="en-US" w:eastAsia="zh-CN"/>
        </w:rPr>
        <w:t>6、自然灾害</w:t>
      </w:r>
    </w:p>
    <w:p>
      <w:pPr>
        <w:bidi w:val="0"/>
        <w:ind w:firstLine="560" w:firstLineChars="200"/>
        <w:rPr>
          <w:rFonts w:hint="eastAsia"/>
          <w:color w:val="auto"/>
          <w:highlight w:val="none"/>
        </w:rPr>
      </w:pPr>
      <w:r>
        <w:rPr>
          <w:rFonts w:hint="eastAsia"/>
          <w:color w:val="auto"/>
          <w:highlight w:val="none"/>
        </w:rPr>
        <w:t>自然灾害主要有干旱、风沙、冰雹、霜冻、干热风、病虫害等。</w:t>
      </w:r>
    </w:p>
    <w:bookmarkEnd w:id="93"/>
    <w:bookmarkEnd w:id="94"/>
    <w:bookmarkEnd w:id="95"/>
    <w:bookmarkEnd w:id="96"/>
    <w:bookmarkEnd w:id="97"/>
    <w:p>
      <w:pPr>
        <w:pStyle w:val="5"/>
        <w:bidi w:val="0"/>
        <w:rPr>
          <w:highlight w:val="none"/>
        </w:rPr>
      </w:pPr>
      <w:r>
        <w:rPr>
          <w:highlight w:val="none"/>
        </w:rPr>
        <w:t>2.2.2社会经济概况</w:t>
      </w:r>
    </w:p>
    <w:bookmarkEnd w:id="59"/>
    <w:bookmarkEnd w:id="60"/>
    <w:p>
      <w:pPr>
        <w:bidi w:val="0"/>
        <w:ind w:firstLine="560" w:firstLineChars="200"/>
        <w:rPr>
          <w:rFonts w:hint="eastAsia" w:ascii="Times New Roman" w:hAnsi="Times New Roman" w:cs="Times New Roman"/>
          <w:color w:val="auto"/>
          <w:highlight w:val="none"/>
          <w:lang w:eastAsia="zh-CN"/>
        </w:rPr>
      </w:pPr>
      <w:bookmarkStart w:id="98" w:name="_Toc27193"/>
      <w:bookmarkStart w:id="99" w:name="_Toc4942"/>
      <w:r>
        <w:rPr>
          <w:rFonts w:hint="eastAsia" w:ascii="Times New Roman" w:hAnsi="Times New Roman" w:cs="Times New Roman"/>
          <w:color w:val="auto"/>
          <w:highlight w:val="none"/>
          <w:lang w:eastAsia="zh-CN"/>
        </w:rPr>
        <w:t>2023年全县实现地区生产总值335.21亿元</w:t>
      </w:r>
      <w:r>
        <w:rPr>
          <w:rFonts w:hint="default" w:ascii="Times New Roman" w:hAnsi="Times New Roman" w:cs="Times New Roman"/>
          <w:color w:val="auto"/>
          <w:highlight w:val="none"/>
          <w:lang w:eastAsia="zh-CN"/>
        </w:rPr>
        <w:t>，按不变价格计算，增速为16.2%。 分三次产业看:第一产业增加值30.66亿元，同比增长7.9%；第二产业增加值207.62亿元，同比增长24.5%；第三产业增加值96.93亿元，同比增长6.8%。 三次产业结构之比为9.1:61.9:29.0。 第一、二、三产业对生产总值增长的贡献率分别为5.1%、79.4%、15.5%。</w:t>
      </w:r>
    </w:p>
    <w:p>
      <w:pPr>
        <w:pStyle w:val="2"/>
        <w:numPr>
          <w:ilvl w:val="0"/>
          <w:numId w:val="0"/>
        </w:numPr>
        <w:bidi w:val="0"/>
        <w:spacing w:before="0" w:after="0"/>
        <w:ind w:left="0" w:leftChars="0" w:firstLine="722" w:firstLineChars="200"/>
        <w:rPr>
          <w:rFonts w:ascii="Times New Roman" w:hAnsi="Times New Roman" w:eastAsia="仿宋_GB2312" w:cs="Times New Roman"/>
          <w:color w:val="auto"/>
          <w:szCs w:val="36"/>
          <w:highlight w:val="none"/>
        </w:rPr>
      </w:pPr>
      <w:bookmarkStart w:id="100" w:name="_Toc4437"/>
      <w:bookmarkStart w:id="101" w:name="_Toc19828"/>
      <w:r>
        <w:rPr>
          <w:rFonts w:hint="eastAsia" w:ascii="Times New Roman" w:hAnsi="Times New Roman" w:eastAsia="仿宋_GB2312" w:cs="Times New Roman"/>
          <w:b/>
          <w:bCs/>
          <w:color w:val="auto"/>
          <w:kern w:val="44"/>
          <w:sz w:val="36"/>
          <w:szCs w:val="36"/>
          <w:lang w:val="en-US" w:eastAsia="zh-CN" w:bidi="ar-SA"/>
        </w:rPr>
        <w:br w:type="page"/>
      </w:r>
      <w:r>
        <w:rPr>
          <w:rFonts w:hint="eastAsia" w:ascii="Times New Roman" w:hAnsi="Times New Roman" w:eastAsia="仿宋_GB2312" w:cs="Times New Roman"/>
          <w:b/>
          <w:bCs/>
          <w:color w:val="auto"/>
          <w:kern w:val="44"/>
          <w:sz w:val="36"/>
          <w:szCs w:val="36"/>
          <w:lang w:val="en-US" w:eastAsia="zh-CN" w:bidi="ar-SA"/>
        </w:rPr>
        <w:t>第三章</w:t>
      </w:r>
      <w:r>
        <w:rPr>
          <w:rFonts w:hint="default" w:ascii="Times New Roman" w:hAnsi="Times New Roman" w:eastAsia="仿宋_GB2312" w:cs="Times New Roman"/>
          <w:color w:val="auto"/>
          <w:szCs w:val="36"/>
          <w:highlight w:val="none"/>
          <w:lang w:val="en-US" w:eastAsia="zh-CN"/>
        </w:rPr>
        <w:t>项</w:t>
      </w:r>
      <w:r>
        <w:rPr>
          <w:rFonts w:ascii="Times New Roman" w:hAnsi="Times New Roman" w:eastAsia="仿宋_GB2312" w:cs="Times New Roman"/>
          <w:color w:val="auto"/>
          <w:szCs w:val="36"/>
          <w:highlight w:val="none"/>
        </w:rPr>
        <w:t>目综合分析</w:t>
      </w:r>
      <w:bookmarkEnd w:id="98"/>
      <w:bookmarkEnd w:id="99"/>
      <w:bookmarkEnd w:id="100"/>
      <w:bookmarkEnd w:id="101"/>
    </w:p>
    <w:p>
      <w:pPr>
        <w:pStyle w:val="3"/>
        <w:bidi w:val="0"/>
        <w:rPr>
          <w:color w:val="auto"/>
          <w:highlight w:val="none"/>
        </w:rPr>
      </w:pPr>
      <w:bookmarkStart w:id="102" w:name="_Toc19483"/>
      <w:bookmarkStart w:id="103" w:name="_Toc32696"/>
      <w:bookmarkStart w:id="104" w:name="_Toc23941"/>
      <w:r>
        <w:rPr>
          <w:color w:val="auto"/>
          <w:highlight w:val="none"/>
        </w:rPr>
        <w:t>3.1 项目实施必要性</w:t>
      </w:r>
      <w:bookmarkEnd w:id="102"/>
      <w:bookmarkEnd w:id="103"/>
      <w:bookmarkEnd w:id="104"/>
    </w:p>
    <w:p>
      <w:pPr>
        <w:bidi w:val="0"/>
        <w:ind w:firstLine="560" w:firstLineChars="200"/>
        <w:rPr>
          <w:rFonts w:hint="eastAsia"/>
          <w:color w:val="auto"/>
          <w:highlight w:val="none"/>
          <w:lang w:val="en-US" w:eastAsia="zh-CN"/>
        </w:rPr>
      </w:pPr>
      <w:r>
        <w:rPr>
          <w:rFonts w:hint="eastAsia"/>
          <w:color w:val="auto"/>
          <w:highlight w:val="none"/>
          <w:lang w:val="en-US" w:eastAsia="zh-CN"/>
        </w:rPr>
        <w:t>为全面贯彻党的二十届二中、三中</w:t>
      </w:r>
      <w:bookmarkStart w:id="268" w:name="_GoBack"/>
      <w:bookmarkEnd w:id="268"/>
      <w:r>
        <w:rPr>
          <w:rFonts w:hint="eastAsia"/>
          <w:color w:val="auto"/>
          <w:highlight w:val="none"/>
          <w:lang w:val="en-US" w:eastAsia="zh-CN"/>
        </w:rPr>
        <w:t>全会精神，深入落实中共中央国务院《中共中央国务院关于实现巩固拓展脱贫攻坚成果同乡村振兴有效衔接的意见》（中发〔</w:t>
      </w:r>
      <w:r>
        <w:rPr>
          <w:rFonts w:hint="default"/>
          <w:color w:val="auto"/>
          <w:highlight w:val="none"/>
          <w:lang w:val="en-US" w:eastAsia="zh-CN"/>
        </w:rPr>
        <w:t>2020</w:t>
      </w:r>
      <w:r>
        <w:rPr>
          <w:rFonts w:hint="eastAsia"/>
          <w:color w:val="auto"/>
          <w:highlight w:val="none"/>
          <w:lang w:val="en-US" w:eastAsia="zh-CN"/>
        </w:rPr>
        <w:t>〕</w:t>
      </w:r>
      <w:r>
        <w:rPr>
          <w:rFonts w:hint="default"/>
          <w:color w:val="auto"/>
          <w:highlight w:val="none"/>
          <w:lang w:val="en-US" w:eastAsia="zh-CN"/>
        </w:rPr>
        <w:t>30</w:t>
      </w:r>
      <w:r>
        <w:rPr>
          <w:rFonts w:hint="eastAsia"/>
          <w:color w:val="auto"/>
          <w:highlight w:val="none"/>
          <w:lang w:val="en-US" w:eastAsia="zh-CN"/>
        </w:rPr>
        <w:t>号）和《中共内蒙古自治区党委、内蒙古自治区人民政府关于实施乡村振兴战略的意见的实施意见》的要求，明确实施乡村振兴目标任务，细化实化工作重点、政策措施、推进机制，部署重大工程、重大计划、重大行动，确保脱贫攻坚与乡村振兴战略有效衔接，扎实推进、走在前列。因此，和林格尔县实施城乡建设用地增减挂钩项目。通过本项目的实施，能减少大量土地的浪费，提高节约集约用地水平，改善生态环境，能有效缓解建设用地供需矛盾：</w:t>
      </w:r>
    </w:p>
    <w:p>
      <w:pPr>
        <w:bidi w:val="0"/>
        <w:ind w:firstLine="560" w:firstLineChars="200"/>
        <w:rPr>
          <w:rFonts w:hint="eastAsia"/>
          <w:color w:val="auto"/>
          <w:highlight w:val="none"/>
          <w:lang w:val="en-US" w:eastAsia="zh-CN"/>
        </w:rPr>
      </w:pPr>
      <w:r>
        <w:rPr>
          <w:rFonts w:hint="eastAsia"/>
          <w:color w:val="auto"/>
          <w:highlight w:val="none"/>
          <w:lang w:val="en-US" w:eastAsia="zh-CN"/>
        </w:rPr>
        <w:t>1、增加农村农用地面积，促进农村增产增收</w:t>
      </w:r>
    </w:p>
    <w:p>
      <w:pPr>
        <w:spacing w:line="360" w:lineRule="auto"/>
        <w:ind w:firstLine="560" w:firstLineChars="200"/>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cs="Times New Roman"/>
          <w:color w:val="auto"/>
          <w:highlight w:val="none"/>
          <w:lang w:val="en-US" w:eastAsia="zh-CN"/>
        </w:rPr>
        <w:t>增减挂钩项目是增加有效耕地面积实现耕地总量动态平衡的有效措施，是提高土地质量和产量，促进土地集约化利用的重要手段，是当前自然资源管理工作的重要内容之一。</w:t>
      </w:r>
      <w:r>
        <w:rPr>
          <w:rFonts w:hint="eastAsia" w:ascii="Times New Roman" w:hAnsi="Times New Roman" w:eastAsia="仿宋_GB2312" w:cs="Times New Roman"/>
          <w:color w:val="auto"/>
          <w:sz w:val="28"/>
          <w:szCs w:val="28"/>
          <w:highlight w:val="none"/>
          <w:lang w:val="en-US" w:eastAsia="zh-CN"/>
        </w:rPr>
        <w:t xml:space="preserve"> </w:t>
      </w:r>
    </w:p>
    <w:p>
      <w:pPr>
        <w:bidi w:val="0"/>
        <w:ind w:firstLine="560" w:firstLineChars="200"/>
        <w:rPr>
          <w:rFonts w:hint="default" w:eastAsia="仿宋"/>
          <w:lang w:val="en-US" w:eastAsia="zh-CN"/>
        </w:rPr>
      </w:pPr>
      <w:r>
        <w:rPr>
          <w:rFonts w:hint="eastAsia"/>
          <w:color w:val="auto"/>
          <w:highlight w:val="none"/>
          <w:lang w:val="en-US" w:eastAsia="zh-CN"/>
        </w:rPr>
        <w:t>增减挂钩项目通过对废弃居民点实施土地复垦，将废弃居民点优先复垦为耕地，复垦后土地用于农业生产，不仅有利于改善和恢复生态环境，实现生态环境的可持续发展，还能有效解决当前人多地少的矛盾。</w:t>
      </w:r>
    </w:p>
    <w:p>
      <w:pPr>
        <w:bidi w:val="0"/>
        <w:ind w:firstLine="560" w:firstLineChars="200"/>
        <w:rPr>
          <w:rFonts w:hint="eastAsia"/>
          <w:color w:val="auto"/>
          <w:highlight w:val="none"/>
          <w:lang w:val="en-US" w:eastAsia="zh-CN"/>
        </w:rPr>
      </w:pPr>
      <w:r>
        <w:rPr>
          <w:rFonts w:hint="eastAsia"/>
          <w:color w:val="auto"/>
          <w:highlight w:val="none"/>
          <w:lang w:val="en-US" w:eastAsia="zh-CN"/>
        </w:rPr>
        <w:t xml:space="preserve">2、改善农村生产、生活条件，助推乡村振兴工程 </w:t>
      </w:r>
    </w:p>
    <w:p>
      <w:pPr>
        <w:bidi w:val="0"/>
        <w:ind w:firstLine="560" w:firstLineChars="200"/>
        <w:rPr>
          <w:rFonts w:hint="eastAsia"/>
          <w:color w:val="auto"/>
          <w:highlight w:val="none"/>
          <w:lang w:val="en-US" w:eastAsia="zh-CN"/>
        </w:rPr>
      </w:pPr>
      <w:r>
        <w:rPr>
          <w:rFonts w:hint="eastAsia"/>
          <w:color w:val="auto"/>
          <w:highlight w:val="none"/>
          <w:lang w:val="en-US" w:eastAsia="zh-CN"/>
        </w:rPr>
        <w:t xml:space="preserve">增减挂钩项目的实施，既加大了对农村的资金支持力度，对废弃居民点进行了整治，促进了美丽乡村建设，通过配套道路、水利设施，使农村、农田基础设施也得到进一步完善。大力推进了和林格尔县乡村振兴步伐，对发展循环经济、推进社会主义新农村建设、建设节约型社会、促进经济社会全面协调可持续发展具有十分重要的意义。 </w:t>
      </w:r>
    </w:p>
    <w:p>
      <w:pPr>
        <w:bidi w:val="0"/>
        <w:ind w:firstLine="560" w:firstLineChars="200"/>
        <w:rPr>
          <w:rFonts w:hint="eastAsia"/>
          <w:color w:val="auto"/>
          <w:highlight w:val="none"/>
          <w:lang w:val="en-US" w:eastAsia="zh-CN"/>
        </w:rPr>
      </w:pPr>
      <w:r>
        <w:rPr>
          <w:rFonts w:hint="eastAsia"/>
          <w:color w:val="auto"/>
          <w:highlight w:val="none"/>
          <w:lang w:val="en-US" w:eastAsia="zh-CN"/>
        </w:rPr>
        <w:t xml:space="preserve">3、有利于推进生态文明建设 </w:t>
      </w:r>
    </w:p>
    <w:p>
      <w:pPr>
        <w:bidi w:val="0"/>
        <w:ind w:firstLine="560" w:firstLineChars="200"/>
        <w:rPr>
          <w:rFonts w:hint="eastAsia"/>
          <w:color w:val="auto"/>
          <w:highlight w:val="none"/>
          <w:lang w:val="en-US" w:eastAsia="zh-CN"/>
        </w:rPr>
      </w:pPr>
      <w:r>
        <w:rPr>
          <w:rFonts w:hint="eastAsia"/>
          <w:color w:val="auto"/>
          <w:highlight w:val="none"/>
          <w:lang w:val="en-US" w:eastAsia="zh-CN"/>
        </w:rPr>
        <w:t>积极开展城镇土地整治，清理整顿盘活闲置建设用地。因地制宜，宜耕则耕，宜林则林，宜草则草，促进生态效益、经济效益与社会效益相统一原则。加强土地保护，防止过度开发利用，将生态文明建设与发展农业经济相结合，进行生态治理等。</w:t>
      </w:r>
    </w:p>
    <w:p>
      <w:pPr>
        <w:bidi w:val="0"/>
        <w:ind w:firstLine="560" w:firstLineChars="200"/>
        <w:rPr>
          <w:rFonts w:hint="eastAsia"/>
          <w:color w:val="auto"/>
          <w:highlight w:val="none"/>
          <w:lang w:val="en-US" w:eastAsia="zh-CN"/>
        </w:rPr>
      </w:pPr>
      <w:r>
        <w:rPr>
          <w:rFonts w:hint="eastAsia"/>
          <w:color w:val="auto"/>
          <w:highlight w:val="none"/>
          <w:lang w:val="en-US" w:eastAsia="zh-CN"/>
        </w:rPr>
        <w:t xml:space="preserve">4、土地集约利用的需要 </w:t>
      </w:r>
    </w:p>
    <w:p>
      <w:pPr>
        <w:bidi w:val="0"/>
        <w:ind w:firstLine="560" w:firstLineChars="200"/>
        <w:rPr>
          <w:rFonts w:hint="default"/>
          <w:color w:val="auto"/>
          <w:highlight w:val="none"/>
          <w:lang w:val="en-US" w:eastAsia="zh-CN"/>
        </w:rPr>
      </w:pPr>
      <w:r>
        <w:rPr>
          <w:rFonts w:hint="eastAsia"/>
          <w:color w:val="auto"/>
          <w:highlight w:val="none"/>
          <w:lang w:val="en-US" w:eastAsia="zh-CN"/>
        </w:rPr>
        <w:t>实施城乡用地增减挂钩项目，按照国土空间规划，对田、水、路、林、村进行综合整治，提高耕地质量，增加有效耕地草地面积，通过采取措施，改造中、低产田，整治废弃居民点，实现土地资源的合理配置，实现土地的集约利用。</w:t>
      </w:r>
    </w:p>
    <w:p>
      <w:pPr>
        <w:pStyle w:val="3"/>
        <w:bidi w:val="0"/>
        <w:rPr>
          <w:highlight w:val="none"/>
        </w:rPr>
      </w:pPr>
      <w:bookmarkStart w:id="105" w:name="_Toc14551"/>
      <w:bookmarkStart w:id="106" w:name="_Toc8238"/>
      <w:bookmarkStart w:id="107" w:name="_Toc32437"/>
      <w:r>
        <w:rPr>
          <w:highlight w:val="none"/>
        </w:rPr>
        <w:t>3.2 项目实施可行性分析</w:t>
      </w:r>
      <w:bookmarkEnd w:id="105"/>
      <w:bookmarkEnd w:id="106"/>
      <w:bookmarkEnd w:id="107"/>
    </w:p>
    <w:p>
      <w:pPr>
        <w:bidi w:val="0"/>
        <w:ind w:firstLine="560" w:firstLineChars="200"/>
        <w:rPr>
          <w:color w:val="auto"/>
          <w:highlight w:val="none"/>
        </w:rPr>
      </w:pPr>
      <w:r>
        <w:rPr>
          <w:color w:val="auto"/>
          <w:highlight w:val="none"/>
          <w:lang w:val="en-US" w:eastAsia="zh-CN"/>
        </w:rPr>
        <w:t>本项目以统筹城乡发展为导向，尊重群众意愿，以促进农牧业现代</w:t>
      </w:r>
      <w:r>
        <w:rPr>
          <w:rFonts w:hint="eastAsia"/>
          <w:color w:val="auto"/>
          <w:highlight w:val="none"/>
          <w:lang w:val="en-US" w:eastAsia="zh-CN"/>
        </w:rPr>
        <w:t>化，改善农村牧区生产生活条件为目标。遵循科学规划、政府主导、实事求是的原则，充分发挥增减挂钩政策在巩固脱贫攻坚成果中的重要作用，推动贫困地区经济社会发展，项目实施具有可实施性。主要表现有几下几方面：</w:t>
      </w:r>
    </w:p>
    <w:p>
      <w:pPr>
        <w:bidi w:val="0"/>
        <w:ind w:firstLine="560" w:firstLineChars="200"/>
        <w:rPr>
          <w:color w:val="auto"/>
          <w:highlight w:val="none"/>
        </w:rPr>
      </w:pPr>
      <w:r>
        <w:rPr>
          <w:rFonts w:hint="default"/>
          <w:color w:val="auto"/>
          <w:highlight w:val="none"/>
          <w:lang w:val="en-US" w:eastAsia="zh-CN"/>
        </w:rPr>
        <w:t>1</w:t>
      </w:r>
      <w:r>
        <w:rPr>
          <w:rFonts w:hint="eastAsia"/>
          <w:color w:val="auto"/>
          <w:highlight w:val="none"/>
          <w:lang w:val="en-US" w:eastAsia="zh-CN"/>
        </w:rPr>
        <w:t>、本项目区选址符合相关法律、法规的规定，与村庄规划、产业布局规划和土地整理等规划充分衔接，整理前后土地利用结构变化符合节约集约、可持续化发展的原则。</w:t>
      </w:r>
    </w:p>
    <w:p>
      <w:pPr>
        <w:bidi w:val="0"/>
        <w:ind w:firstLine="560" w:firstLineChars="200"/>
        <w:rPr>
          <w:color w:val="auto"/>
          <w:highlight w:val="none"/>
        </w:rPr>
      </w:pPr>
      <w:r>
        <w:rPr>
          <w:rFonts w:hint="default"/>
          <w:color w:val="auto"/>
          <w:highlight w:val="none"/>
          <w:lang w:val="en-US" w:eastAsia="zh-CN"/>
        </w:rPr>
        <w:t>2</w:t>
      </w:r>
      <w:r>
        <w:rPr>
          <w:rFonts w:hint="eastAsia"/>
          <w:color w:val="auto"/>
          <w:highlight w:val="none"/>
          <w:lang w:val="en-US" w:eastAsia="zh-CN"/>
        </w:rPr>
        <w:t>、本项目政府重视，尊重群众意愿，维护集体经济组织和农户土地合法权益。和林格尔县人民政府已成立项目实施工作领导小组，保障项目顺利实施。通过与群众代表开展实地踏勘、召开村民大会宣讲政策、项目公告等形式，加强公众参与，该项目得到了村民的拥护和支持，具体现实可操作性强。</w:t>
      </w:r>
    </w:p>
    <w:p>
      <w:pPr>
        <w:bidi w:val="0"/>
        <w:ind w:firstLine="560" w:firstLineChars="200"/>
        <w:rPr>
          <w:color w:val="auto"/>
          <w:highlight w:val="none"/>
        </w:rPr>
      </w:pPr>
      <w:r>
        <w:rPr>
          <w:rFonts w:hint="default"/>
          <w:color w:val="auto"/>
          <w:highlight w:val="none"/>
          <w:lang w:val="en-US" w:eastAsia="zh-CN"/>
        </w:rPr>
        <w:t>3</w:t>
      </w:r>
      <w:r>
        <w:rPr>
          <w:rFonts w:hint="eastAsia"/>
          <w:color w:val="auto"/>
          <w:highlight w:val="none"/>
          <w:lang w:val="en-US" w:eastAsia="zh-CN"/>
        </w:rPr>
        <w:t>、项目实施验收后，通过建设用地指标交易的经济收益，助力巩固脱贫攻坚成果和乡村振兴战略的实施。根据建设节约型社会的需要，综合考虑城市建设发展、改善生态环境，为减缓建设用地供需矛盾、保护和增加农用地、盘活用好农村建设用地、改善农牧民生产条件和生活环境、加快城乡一体化进程、建设社会主义新农村。</w:t>
      </w:r>
    </w:p>
    <w:p>
      <w:pPr>
        <w:bidi w:val="0"/>
        <w:ind w:firstLine="560" w:firstLineChars="200"/>
        <w:rPr>
          <w:color w:val="auto"/>
          <w:highlight w:val="none"/>
        </w:rPr>
      </w:pPr>
      <w:r>
        <w:rPr>
          <w:rFonts w:hint="default"/>
          <w:color w:val="auto"/>
          <w:highlight w:val="none"/>
          <w:lang w:val="en-US" w:eastAsia="zh-CN"/>
        </w:rPr>
        <w:t>4</w:t>
      </w:r>
      <w:r>
        <w:rPr>
          <w:rFonts w:hint="eastAsia"/>
          <w:color w:val="auto"/>
          <w:highlight w:val="none"/>
          <w:lang w:val="en-US" w:eastAsia="zh-CN"/>
        </w:rPr>
        <w:t>、项目实施验收后，优化了城乡用地结构和布局，改善了农村风貌和生态环境，在缓解城镇建设用地需求的</w:t>
      </w:r>
      <w:r>
        <w:rPr>
          <w:color w:val="auto"/>
          <w:highlight w:val="none"/>
          <w:lang w:val="en-US" w:eastAsia="zh-CN"/>
        </w:rPr>
        <w:t>同时，改善了农村风貌和生态环境，通过实施城乡建设用地增减挂钩实</w:t>
      </w:r>
      <w:r>
        <w:rPr>
          <w:rFonts w:hint="eastAsia"/>
          <w:color w:val="auto"/>
          <w:highlight w:val="none"/>
          <w:lang w:val="en-US" w:eastAsia="zh-CN"/>
        </w:rPr>
        <w:t>现农用地特别是耕地资源的集中连片，实现集约化、规模化利用，逐步实现向绿色发展方式和生活方式的转变。</w:t>
      </w:r>
    </w:p>
    <w:p>
      <w:pPr>
        <w:pStyle w:val="3"/>
        <w:bidi w:val="0"/>
        <w:rPr>
          <w:color w:val="auto"/>
          <w:highlight w:val="none"/>
        </w:rPr>
      </w:pPr>
      <w:bookmarkStart w:id="108" w:name="_Toc17789"/>
      <w:bookmarkStart w:id="109" w:name="_Toc5044"/>
      <w:bookmarkStart w:id="110" w:name="_Toc13502"/>
      <w:r>
        <w:rPr>
          <w:color w:val="auto"/>
          <w:highlight w:val="none"/>
        </w:rPr>
        <w:t>3.3 拆旧区复垦潜力分析</w:t>
      </w:r>
      <w:bookmarkEnd w:id="108"/>
      <w:bookmarkEnd w:id="109"/>
      <w:bookmarkEnd w:id="110"/>
    </w:p>
    <w:p>
      <w:pPr>
        <w:keepNext w:val="0"/>
        <w:keepLines w:val="0"/>
        <w:widowControl/>
        <w:suppressLineNumbers w:val="0"/>
        <w:jc w:val="left"/>
        <w:rPr>
          <w:rFonts w:hint="default" w:eastAsia="仿宋"/>
          <w:color w:val="auto"/>
          <w:highlight w:val="none"/>
          <w:lang w:val="en-US" w:eastAsia="zh-CN"/>
        </w:rPr>
      </w:pPr>
      <w:r>
        <w:rPr>
          <w:rFonts w:hint="default" w:ascii="Times New Roman" w:hAnsi="Times New Roman" w:cs="Times New Roman"/>
          <w:color w:val="auto"/>
          <w:highlight w:val="none"/>
          <w:lang w:val="en-US" w:eastAsia="zh-CN"/>
        </w:rPr>
        <w:t>拆旧区共计</w:t>
      </w:r>
      <w:r>
        <w:rPr>
          <w:rFonts w:hint="eastAsia" w:ascii="Times New Roman" w:hAnsi="Times New Roman" w:cs="Times New Roman"/>
          <w:color w:val="auto"/>
          <w:highlight w:val="none"/>
          <w:lang w:val="en-US" w:eastAsia="zh-CN"/>
        </w:rPr>
        <w:t>30.</w:t>
      </w:r>
      <w:r>
        <w:rPr>
          <w:rFonts w:hint="eastAsia" w:cs="Times New Roman"/>
          <w:color w:val="auto"/>
          <w:highlight w:val="none"/>
          <w:lang w:val="en-US" w:eastAsia="zh-CN"/>
        </w:rPr>
        <w:t>65</w:t>
      </w:r>
      <w:r>
        <w:rPr>
          <w:rFonts w:hint="default" w:ascii="Times New Roman" w:hAnsi="Times New Roman" w:cs="Times New Roman"/>
          <w:color w:val="auto"/>
          <w:highlight w:val="none"/>
          <w:lang w:val="en-US" w:eastAsia="zh-CN"/>
        </w:rPr>
        <w:t>公顷（</w:t>
      </w:r>
      <w:r>
        <w:rPr>
          <w:rFonts w:hint="eastAsia" w:cs="Times New Roman"/>
          <w:color w:val="auto"/>
          <w:highlight w:val="none"/>
          <w:lang w:val="en-US" w:eastAsia="zh-CN"/>
        </w:rPr>
        <w:t>459.69</w:t>
      </w:r>
      <w:r>
        <w:rPr>
          <w:rFonts w:hint="default" w:ascii="Times New Roman" w:hAnsi="Times New Roman" w:cs="Times New Roman"/>
          <w:color w:val="auto"/>
          <w:highlight w:val="none"/>
          <w:lang w:val="en-US" w:eastAsia="zh-CN"/>
        </w:rPr>
        <w:t>亩），</w:t>
      </w:r>
      <w:r>
        <w:rPr>
          <w:rFonts w:hint="eastAsia" w:cs="Times New Roman"/>
          <w:color w:val="auto"/>
          <w:highlight w:val="none"/>
          <w:lang w:val="en-US" w:eastAsia="zh-CN"/>
        </w:rPr>
        <w:t>22</w:t>
      </w:r>
      <w:r>
        <w:rPr>
          <w:rFonts w:hint="default" w:ascii="Times New Roman" w:hAnsi="Times New Roman" w:cs="Times New Roman"/>
          <w:color w:val="auto"/>
          <w:highlight w:val="none"/>
          <w:lang w:val="en-US" w:eastAsia="zh-CN"/>
        </w:rPr>
        <w:t>个地块，涉及</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个乡镇、</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个行政村，现状为农村居民点，因呼和浩特盛乐国际机场</w:t>
      </w:r>
      <w:r>
        <w:rPr>
          <w:rFonts w:hint="eastAsia" w:ascii="Times New Roman" w:hAnsi="Times New Roman" w:cs="Times New Roman"/>
          <w:color w:val="auto"/>
          <w:highlight w:val="none"/>
          <w:lang w:val="en-US" w:eastAsia="zh-CN"/>
        </w:rPr>
        <w:t>的建设为了保障呼和浩特盛乐国际机场噪音影响区村民的合法权益，顺利完成呼和浩特盛乐国际机场工程竣工环境保护验收，按照《呼和浩特新机场环境影响报告书》及批复（环审〔</w:t>
      </w:r>
      <w:r>
        <w:rPr>
          <w:rFonts w:hint="default" w:ascii="Times New Roman" w:hAnsi="Times New Roman" w:cs="Times New Roman"/>
          <w:color w:val="auto"/>
          <w:highlight w:val="none"/>
          <w:lang w:val="en-US" w:eastAsia="zh-CN"/>
        </w:rPr>
        <w:t>2018</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14</w:t>
      </w:r>
      <w:r>
        <w:rPr>
          <w:rFonts w:hint="eastAsia" w:ascii="Times New Roman" w:hAnsi="Times New Roman" w:cs="Times New Roman"/>
          <w:color w:val="auto"/>
          <w:highlight w:val="none"/>
          <w:lang w:val="en-US" w:eastAsia="zh-CN"/>
        </w:rPr>
        <w:t>号）相关要求，拟对巧什营镇草场村、前一间房村、张昌营村村址内村民住宅实施整体搬迁。</w:t>
      </w:r>
      <w:r>
        <w:rPr>
          <w:rFonts w:hint="eastAsia"/>
          <w:color w:val="auto"/>
          <w:highlight w:val="none"/>
          <w:lang w:val="en-US" w:eastAsia="zh-CN"/>
        </w:rPr>
        <w:t>项目实施后</w:t>
      </w:r>
      <w:r>
        <w:rPr>
          <w:rFonts w:hint="default"/>
          <w:color w:val="auto"/>
          <w:highlight w:val="none"/>
          <w:lang w:eastAsia="zh-CN"/>
        </w:rPr>
        <w:t>项目区内原住户搬</w:t>
      </w:r>
      <w:r>
        <w:rPr>
          <w:rFonts w:hint="eastAsia"/>
          <w:color w:val="auto"/>
          <w:highlight w:val="none"/>
          <w:lang w:val="en-US" w:eastAsia="zh-CN"/>
        </w:rPr>
        <w:t>离</w:t>
      </w:r>
      <w:r>
        <w:rPr>
          <w:rFonts w:hint="default"/>
          <w:color w:val="auto"/>
          <w:highlight w:val="none"/>
          <w:lang w:eastAsia="zh-CN"/>
        </w:rPr>
        <w:t>，剩余大片的农村建设用地</w:t>
      </w:r>
      <w:r>
        <w:rPr>
          <w:rFonts w:hint="eastAsia"/>
          <w:color w:val="auto"/>
          <w:highlight w:val="none"/>
          <w:lang w:eastAsia="zh-CN"/>
        </w:rPr>
        <w:t>，</w:t>
      </w:r>
      <w:r>
        <w:rPr>
          <w:rFonts w:hint="default"/>
          <w:color w:val="auto"/>
          <w:highlight w:val="none"/>
          <w:lang w:eastAsia="zh-CN"/>
        </w:rPr>
        <w:t>当中</w:t>
      </w:r>
      <w:r>
        <w:rPr>
          <w:rFonts w:hint="eastAsia"/>
          <w:color w:val="auto"/>
          <w:highlight w:val="none"/>
          <w:lang w:val="en-US" w:eastAsia="zh-CN"/>
        </w:rPr>
        <w:t>且</w:t>
      </w:r>
      <w:r>
        <w:rPr>
          <w:rFonts w:hint="default"/>
          <w:color w:val="auto"/>
          <w:highlight w:val="none"/>
          <w:lang w:eastAsia="zh-CN"/>
        </w:rPr>
        <w:t>现状院落、道路、园地以及废弃房屋地基犬牙交错，导致无法对其集中系统的有效利用，</w:t>
      </w:r>
      <w:r>
        <w:rPr>
          <w:rFonts w:hint="default"/>
          <w:color w:val="auto"/>
          <w:highlight w:val="none"/>
        </w:rPr>
        <w:t>严重浪费了土地资源。</w:t>
      </w:r>
      <w:r>
        <w:rPr>
          <w:rFonts w:hint="eastAsia"/>
          <w:color w:val="auto"/>
          <w:highlight w:val="none"/>
          <w:lang w:val="en-US" w:eastAsia="zh-CN"/>
        </w:rPr>
        <w:t>但是对于恢复耕地项目区较好的保障复垦后有人看管耕种。</w:t>
      </w:r>
    </w:p>
    <w:p>
      <w:pPr>
        <w:rPr>
          <w:rFonts w:hint="eastAsia"/>
          <w:lang w:val="en-US" w:eastAsia="zh-CN"/>
        </w:rPr>
      </w:pPr>
      <w:bookmarkStart w:id="111" w:name="_Toc533758607"/>
      <w:r>
        <w:rPr>
          <w:rFonts w:hint="eastAsia"/>
          <w:lang w:val="en-US" w:eastAsia="zh-CN"/>
        </w:rPr>
        <w:br w:type="page"/>
      </w:r>
    </w:p>
    <w:p>
      <w:pPr>
        <w:pStyle w:val="90"/>
        <w:bidi w:val="0"/>
        <w:rPr>
          <w:rFonts w:hint="default"/>
        </w:rPr>
      </w:pPr>
      <w:r>
        <w:rPr>
          <w:rFonts w:hint="eastAsia"/>
          <w:lang w:val="en-US" w:eastAsia="zh-CN"/>
        </w:rPr>
        <w:t>表3-1</w:t>
      </w:r>
      <w:r>
        <w:rPr>
          <w:rFonts w:hint="default"/>
        </w:rPr>
        <w:t>拆旧区新增耕地潜力分析</w:t>
      </w:r>
    </w:p>
    <w:bookmarkEnd w:id="111"/>
    <w:tbl>
      <w:tblPr>
        <w:tblStyle w:val="2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1"/>
        <w:gridCol w:w="1353"/>
        <w:gridCol w:w="63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bookmarkStart w:id="112" w:name="_Toc24407"/>
            <w:bookmarkStart w:id="113" w:name="_Toc17956"/>
            <w:bookmarkStart w:id="114" w:name="_Toc125545549"/>
            <w:r>
              <w:rPr>
                <w:rFonts w:hint="eastAsia"/>
                <w:b/>
                <w:bCs/>
                <w:lang w:val="en-US" w:eastAsia="zh-CN"/>
              </w:rPr>
              <w:t>复垦类型</w:t>
            </w: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地块编号</w:t>
            </w:r>
          </w:p>
        </w:tc>
        <w:tc>
          <w:tcPr>
            <w:tcW w:w="3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w:t>
            </w: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BRDYC-CJ-01</w:t>
            </w:r>
          </w:p>
        </w:tc>
        <w:tc>
          <w:tcPr>
            <w:tcW w:w="371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复垦为耕地（旱地）地势较为平坦，翻松后土壤条件良好，周边多为水浇地，地下水丰富且。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BRDYC-CJ-02</w:t>
            </w:r>
          </w:p>
        </w:tc>
        <w:tc>
          <w:tcPr>
            <w:tcW w:w="37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BRDYC-CJ-03</w:t>
            </w:r>
          </w:p>
        </w:tc>
        <w:tc>
          <w:tcPr>
            <w:tcW w:w="37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BRDYC-CJ-04</w:t>
            </w:r>
          </w:p>
        </w:tc>
        <w:tc>
          <w:tcPr>
            <w:tcW w:w="37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BRDYC-CJ-05</w:t>
            </w:r>
          </w:p>
        </w:tc>
        <w:tc>
          <w:tcPr>
            <w:tcW w:w="37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BRDYC-CJ-06</w:t>
            </w:r>
          </w:p>
        </w:tc>
        <w:tc>
          <w:tcPr>
            <w:tcW w:w="37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DZYC-CJ-01</w:t>
            </w:r>
          </w:p>
        </w:tc>
        <w:tc>
          <w:tcPr>
            <w:tcW w:w="37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DZYC-CJ-02</w:t>
            </w:r>
          </w:p>
        </w:tc>
        <w:tc>
          <w:tcPr>
            <w:tcW w:w="37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DZYC-CJ-03</w:t>
            </w:r>
          </w:p>
        </w:tc>
        <w:tc>
          <w:tcPr>
            <w:tcW w:w="37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YJFC-CJ-01</w:t>
            </w:r>
          </w:p>
        </w:tc>
        <w:tc>
          <w:tcPr>
            <w:tcW w:w="37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YJFC-CJ-02</w:t>
            </w:r>
          </w:p>
        </w:tc>
        <w:tc>
          <w:tcPr>
            <w:tcW w:w="37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YJFC-CJ-03</w:t>
            </w:r>
          </w:p>
        </w:tc>
        <w:tc>
          <w:tcPr>
            <w:tcW w:w="37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YJFC-CJ-04</w:t>
            </w:r>
          </w:p>
        </w:tc>
        <w:tc>
          <w:tcPr>
            <w:tcW w:w="37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YJFC-CJ-05</w:t>
            </w:r>
          </w:p>
        </w:tc>
        <w:tc>
          <w:tcPr>
            <w:tcW w:w="37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YJFC-CJ-06</w:t>
            </w:r>
          </w:p>
        </w:tc>
        <w:tc>
          <w:tcPr>
            <w:tcW w:w="37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YJFC-CJ-07</w:t>
            </w:r>
          </w:p>
        </w:tc>
        <w:tc>
          <w:tcPr>
            <w:tcW w:w="37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YJFC-CJ-08</w:t>
            </w:r>
          </w:p>
        </w:tc>
        <w:tc>
          <w:tcPr>
            <w:tcW w:w="37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YJFC-CJ-09</w:t>
            </w:r>
          </w:p>
        </w:tc>
        <w:tc>
          <w:tcPr>
            <w:tcW w:w="37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YJFC-CJ-10</w:t>
            </w:r>
          </w:p>
        </w:tc>
        <w:tc>
          <w:tcPr>
            <w:tcW w:w="37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YJFC-CJ-11</w:t>
            </w:r>
          </w:p>
        </w:tc>
        <w:tc>
          <w:tcPr>
            <w:tcW w:w="37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YJFC-CJ-12</w:t>
            </w:r>
          </w:p>
        </w:tc>
        <w:tc>
          <w:tcPr>
            <w:tcW w:w="37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YJFC-CJ-13</w:t>
            </w:r>
          </w:p>
        </w:tc>
        <w:tc>
          <w:tcPr>
            <w:tcW w:w="37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r>
    </w:tbl>
    <w:p>
      <w:pPr>
        <w:bidi w:val="0"/>
        <w:ind w:firstLine="560" w:firstLineChars="200"/>
        <w:rPr>
          <w:highlight w:val="none"/>
        </w:rPr>
      </w:pPr>
    </w:p>
    <w:p>
      <w:pPr>
        <w:bidi w:val="0"/>
        <w:ind w:firstLine="642" w:firstLineChars="200"/>
        <w:rPr>
          <w:rFonts w:ascii="Times New Roman" w:hAnsi="Times New Roman" w:eastAsia="仿宋" w:cs="Times New Roman"/>
          <w:b/>
          <w:bCs/>
          <w:color w:val="auto"/>
          <w:kern w:val="2"/>
          <w:sz w:val="32"/>
          <w:szCs w:val="32"/>
          <w:highlight w:val="none"/>
          <w:lang w:val="en-US" w:eastAsia="zh-CN" w:bidi="ar-SA"/>
        </w:rPr>
      </w:pPr>
      <w:r>
        <w:rPr>
          <w:rFonts w:ascii="Times New Roman" w:hAnsi="Times New Roman" w:eastAsia="仿宋" w:cs="Times New Roman"/>
          <w:b/>
          <w:bCs/>
          <w:color w:val="auto"/>
          <w:kern w:val="2"/>
          <w:sz w:val="32"/>
          <w:szCs w:val="32"/>
          <w:highlight w:val="none"/>
          <w:lang w:val="en-US" w:eastAsia="zh-CN" w:bidi="ar-SA"/>
        </w:rPr>
        <w:t>3.4项目实施公众参与情况</w:t>
      </w:r>
      <w:bookmarkEnd w:id="112"/>
      <w:bookmarkEnd w:id="113"/>
      <w:bookmarkEnd w:id="114"/>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color w:val="auto"/>
          <w:highlight w:val="none"/>
          <w:lang w:val="en-US" w:eastAsia="zh-CN"/>
        </w:rPr>
      </w:pPr>
      <w:r>
        <w:rPr>
          <w:rFonts w:hint="eastAsia"/>
          <w:color w:val="auto"/>
          <w:highlight w:val="none"/>
          <w:lang w:val="en-US" w:eastAsia="zh-CN"/>
        </w:rPr>
        <w:t>为了增加项目实施的透明度，维护公众利益，体现项目决策的科学性和合理性，让项目区群众了解项目情况并参与项目决策，和林格尔县人民政府、和林格尔县自然资源局、项目编制单位、项目区所在和林格尔县乡政府等有关人员及村委干部群众代表到项目区进行实地踏勘，对该项目进行公告，广泛征求当地群众意见。</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color w:val="auto"/>
          <w:highlight w:val="none"/>
          <w:lang w:val="en-US" w:eastAsia="zh-CN"/>
        </w:rPr>
      </w:pPr>
      <w:r>
        <w:rPr>
          <w:rFonts w:hint="eastAsia"/>
          <w:color w:val="auto"/>
          <w:highlight w:val="none"/>
          <w:lang w:val="en-US" w:eastAsia="zh-CN"/>
        </w:rPr>
        <w:t>拆旧区共涉及常住户593户，其中进行书面签字确认的户数为593户，初步调查项目赞成率达到</w:t>
      </w:r>
      <w:r>
        <w:rPr>
          <w:rFonts w:hint="default"/>
          <w:color w:val="auto"/>
          <w:highlight w:val="none"/>
          <w:lang w:val="en-US" w:eastAsia="zh-CN"/>
        </w:rPr>
        <w:t>100%</w:t>
      </w:r>
      <w:r>
        <w:rPr>
          <w:rFonts w:hint="eastAsia"/>
          <w:color w:val="auto"/>
          <w:highlight w:val="none"/>
          <w:lang w:val="en-US" w:eastAsia="zh-CN"/>
        </w:rPr>
        <w:t>，当地居民同意项目区的选址、权属实施方案、规划实施方案，并将积极配合，保证项目的顺利实施。</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color w:val="auto"/>
          <w:highlight w:val="none"/>
          <w:lang w:val="en-US" w:eastAsia="zh-CN"/>
        </w:rPr>
      </w:pPr>
      <w:r>
        <w:rPr>
          <w:rFonts w:hint="eastAsia"/>
          <w:color w:val="auto"/>
          <w:highlight w:val="none"/>
          <w:lang w:val="en-US" w:eastAsia="zh-CN"/>
        </w:rPr>
        <w:t>和林格尔县增减挂钩项目实施方案的编制充分认识到了公众参与的重要性，公众参与主要体现在以下几个方面：</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color w:val="auto"/>
          <w:highlight w:val="none"/>
        </w:rPr>
      </w:pPr>
      <w:r>
        <w:rPr>
          <w:rFonts w:hint="default"/>
          <w:color w:val="auto"/>
          <w:highlight w:val="none"/>
          <w:lang w:val="en-US" w:eastAsia="zh-CN"/>
        </w:rPr>
        <w:t>1</w:t>
      </w:r>
      <w:r>
        <w:rPr>
          <w:rFonts w:hint="eastAsia"/>
          <w:color w:val="auto"/>
          <w:highlight w:val="none"/>
          <w:lang w:val="en-US" w:eastAsia="zh-CN"/>
        </w:rPr>
        <w:t xml:space="preserve">、前期调研充分，总体部署合理。和林格尔县自然资源局组织相关科室协同方案编制单位对各乡镇所报项目进行了逐地块排查，积极走访查清了项目基本情况，最终筛选出符合选址要求的地块，为增减挂钩项目的实施做好了基础调研工作。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color w:val="auto"/>
          <w:highlight w:val="none"/>
        </w:rPr>
      </w:pPr>
      <w:r>
        <w:rPr>
          <w:rFonts w:hint="default"/>
          <w:color w:val="auto"/>
          <w:highlight w:val="none"/>
          <w:lang w:val="en-US" w:eastAsia="zh-CN"/>
        </w:rPr>
        <w:t>2</w:t>
      </w:r>
      <w:r>
        <w:rPr>
          <w:rFonts w:hint="eastAsia"/>
          <w:color w:val="auto"/>
          <w:highlight w:val="none"/>
          <w:lang w:val="en-US" w:eastAsia="zh-CN"/>
        </w:rPr>
        <w:t xml:space="preserve">、和林格尔县人民政府专门召开会议组建增减挂钩工作领导小组。领导小组做好了拆迁办法的政策宣传，并组织召开村民大会，宣传了城乡建设用地增减挂钩项目在新农村建设中的重要意义。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color w:val="auto"/>
          <w:highlight w:val="none"/>
        </w:rPr>
      </w:pPr>
      <w:r>
        <w:rPr>
          <w:rFonts w:hint="default"/>
          <w:color w:val="auto"/>
          <w:highlight w:val="none"/>
          <w:lang w:val="en-US" w:eastAsia="zh-CN"/>
        </w:rPr>
        <w:t>3</w:t>
      </w:r>
      <w:r>
        <w:rPr>
          <w:rFonts w:hint="eastAsia"/>
          <w:color w:val="auto"/>
          <w:highlight w:val="none"/>
          <w:lang w:val="en-US" w:eastAsia="zh-CN"/>
        </w:rPr>
        <w:t xml:space="preserve">、项目实施本着一切以尊重农牧民意愿为基本原则，在项目实施前充分听取群众的意见建议，不搞强拆强建，保障当地住户的知情权和参与权，改善农牧民的生产条件和生活环境，加快全县城乡一体化进程，并切实维护农牧民的利益。经过入户调查和宣传动员，当地农牧民希望改善生态环境，实施增减挂钩项目的支持度很高。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color w:val="auto"/>
          <w:highlight w:val="none"/>
        </w:rPr>
      </w:pPr>
      <w:r>
        <w:rPr>
          <w:rFonts w:hint="default"/>
          <w:color w:val="auto"/>
          <w:highlight w:val="none"/>
          <w:lang w:val="en-US" w:eastAsia="zh-CN"/>
        </w:rPr>
        <w:t>4</w:t>
      </w:r>
      <w:r>
        <w:rPr>
          <w:rFonts w:hint="eastAsia"/>
          <w:color w:val="auto"/>
          <w:highlight w:val="none"/>
          <w:lang w:val="en-US" w:eastAsia="zh-CN"/>
        </w:rPr>
        <w:t xml:space="preserve">、在实施方案编制工作开展的过程中，充分征求了自然资源、发改委、财政、生态环境、农牧、水利、环保等相关政府部门的意见。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color w:val="auto"/>
          <w:highlight w:val="none"/>
          <w:lang w:val="en-US" w:eastAsia="zh-CN"/>
        </w:rPr>
      </w:pPr>
      <w:r>
        <w:rPr>
          <w:rFonts w:hint="eastAsia"/>
          <w:color w:val="auto"/>
          <w:highlight w:val="none"/>
          <w:lang w:val="en-US" w:eastAsia="zh-CN"/>
        </w:rPr>
        <w:t>与此同时，和林格尔县政府已成立项目实施工作领导小组，专门负责协调项目实施中的有关事宜，使项目的顺利实施有良好的组织保障。县政府、县自然资源局等相关单位对项目的顺利实施给与高度的配合与支持。项目区农牧民也积极参与项目实施，根据项目区实际情况提出合理化建议，表现出很高的积极性。项目所涉及行政村内的村民代表都表示支持此项目的开展，为项目实施奠定良好的群众基础。</w:t>
      </w:r>
    </w:p>
    <w:p>
      <w:pPr>
        <w:ind w:left="0" w:leftChars="0" w:firstLine="0" w:firstLineChars="0"/>
        <w:jc w:val="left"/>
        <w:rPr>
          <w:rFonts w:hint="eastAsia"/>
          <w:color w:val="auto"/>
          <w:highlight w:val="none"/>
          <w:lang w:val="en-US" w:eastAsia="zh-CN"/>
        </w:rPr>
      </w:pPr>
      <w:r>
        <w:rPr>
          <w:rFonts w:hint="eastAsia"/>
          <w:color w:val="auto"/>
          <w:highlight w:val="none"/>
          <w:lang w:val="en-US" w:eastAsia="zh-CN"/>
        </w:rPr>
        <w:t xml:space="preserve"> </w:t>
      </w:r>
    </w:p>
    <w:p>
      <w:pPr>
        <w:ind w:left="0" w:leftChars="0" w:firstLine="0" w:firstLineChars="0"/>
        <w:jc w:val="left"/>
        <w:rPr>
          <w:rFonts w:hint="eastAsia"/>
          <w:color w:val="auto"/>
          <w:highlight w:val="none"/>
          <w:lang w:val="en-US" w:eastAsia="zh-CN"/>
        </w:rPr>
      </w:pPr>
    </w:p>
    <w:p>
      <w:pPr>
        <w:ind w:left="0" w:leftChars="0" w:firstLine="0" w:firstLineChars="0"/>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5280025" cy="3924935"/>
            <wp:effectExtent l="0" t="0" r="15875" b="18415"/>
            <wp:docPr id="14" name="图片 14" descr="187de0d172941980b39afcb22bac80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187de0d172941980b39afcb22bac80d"/>
                    <pic:cNvPicPr>
                      <a:picLocks noChangeAspect="true"/>
                    </pic:cNvPicPr>
                  </pic:nvPicPr>
                  <pic:blipFill>
                    <a:blip r:embed="rId21"/>
                    <a:stretch>
                      <a:fillRect/>
                    </a:stretch>
                  </pic:blipFill>
                  <pic:spPr>
                    <a:xfrm>
                      <a:off x="0" y="0"/>
                      <a:ext cx="5280025" cy="39249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color w:val="auto"/>
          <w:highlight w:val="none"/>
          <w:lang w:val="en-US" w:eastAsia="zh-CN"/>
        </w:rPr>
      </w:pPr>
      <w:r>
        <w:rPr>
          <w:rFonts w:hint="eastAsia"/>
          <w:color w:val="auto"/>
          <w:highlight w:val="none"/>
          <w:lang w:val="en-US" w:eastAsia="zh-CN"/>
        </w:rPr>
        <w:t xml:space="preserve">项目论证会会议现场照片 </w:t>
      </w:r>
      <w:r>
        <w:rPr>
          <w:rFonts w:hint="default"/>
          <w:color w:val="auto"/>
          <w:highlight w:val="none"/>
          <w:lang w:val="en-US" w:eastAsia="zh-CN"/>
        </w:rPr>
        <w:t>1</w:t>
      </w:r>
    </w:p>
    <w:p>
      <w:pPr>
        <w:ind w:left="0" w:leftChars="0" w:firstLine="0" w:firstLineChars="0"/>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5256530" cy="2957195"/>
            <wp:effectExtent l="0" t="0" r="1270" b="14605"/>
            <wp:docPr id="15" name="图片 15" descr="2ef83c83e40982627b8e9be85bed6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2ef83c83e40982627b8e9be85bed699"/>
                    <pic:cNvPicPr>
                      <a:picLocks noChangeAspect="true"/>
                    </pic:cNvPicPr>
                  </pic:nvPicPr>
                  <pic:blipFill>
                    <a:blip r:embed="rId22"/>
                    <a:stretch>
                      <a:fillRect/>
                    </a:stretch>
                  </pic:blipFill>
                  <pic:spPr>
                    <a:xfrm>
                      <a:off x="0" y="0"/>
                      <a:ext cx="5256530" cy="2957195"/>
                    </a:xfrm>
                    <a:prstGeom prst="rect">
                      <a:avLst/>
                    </a:prstGeom>
                  </pic:spPr>
                </pic:pic>
              </a:graphicData>
            </a:graphic>
          </wp:inline>
        </w:drawing>
      </w:r>
    </w:p>
    <w:p>
      <w:pPr>
        <w:jc w:val="center"/>
        <w:rPr>
          <w:rFonts w:hint="eastAsia" w:ascii="Times New Roman" w:hAnsi="Times New Roman" w:eastAsia="仿宋_GB2312" w:cs="Times New Roman"/>
          <w:b/>
          <w:bCs/>
          <w:color w:val="auto"/>
          <w:kern w:val="44"/>
          <w:sz w:val="36"/>
          <w:szCs w:val="36"/>
          <w:lang w:val="en-US" w:eastAsia="zh-CN" w:bidi="ar-SA"/>
        </w:rPr>
      </w:pPr>
      <w:bookmarkStart w:id="115" w:name="_Toc13073"/>
      <w:bookmarkStart w:id="116" w:name="_Toc7348"/>
      <w:bookmarkStart w:id="117" w:name="_Toc23269"/>
      <w:r>
        <w:rPr>
          <w:rFonts w:hint="eastAsia"/>
          <w:color w:val="auto"/>
          <w:highlight w:val="none"/>
          <w:lang w:val="en-US" w:eastAsia="zh-CN"/>
        </w:rPr>
        <w:t>项目论证会会议现场照片 2</w:t>
      </w:r>
    </w:p>
    <w:p>
      <w:pPr>
        <w:rPr>
          <w:rFonts w:hint="eastAsia" w:ascii="Times New Roman" w:hAnsi="Times New Roman" w:eastAsia="仿宋_GB2312" w:cs="Times New Roman"/>
          <w:b/>
          <w:bCs/>
          <w:color w:val="auto"/>
          <w:kern w:val="44"/>
          <w:sz w:val="36"/>
          <w:szCs w:val="36"/>
          <w:lang w:val="en-US" w:eastAsia="zh-CN" w:bidi="ar-SA"/>
        </w:rPr>
      </w:pPr>
      <w:r>
        <w:rPr>
          <w:rFonts w:hint="eastAsia" w:ascii="Times New Roman" w:hAnsi="Times New Roman" w:eastAsia="仿宋_GB2312" w:cs="Times New Roman"/>
          <w:b/>
          <w:bCs/>
          <w:color w:val="auto"/>
          <w:kern w:val="44"/>
          <w:sz w:val="36"/>
          <w:szCs w:val="36"/>
          <w:lang w:val="en-US" w:eastAsia="zh-CN" w:bidi="ar-SA"/>
        </w:rPr>
        <w:br w:type="page"/>
      </w:r>
    </w:p>
    <w:p>
      <w:pPr>
        <w:pStyle w:val="2"/>
        <w:numPr>
          <w:ilvl w:val="0"/>
          <w:numId w:val="0"/>
        </w:numPr>
        <w:bidi w:val="0"/>
        <w:ind w:left="560" w:leftChars="0" w:firstLine="0" w:firstLineChars="0"/>
        <w:rPr>
          <w:rFonts w:ascii="Times New Roman" w:hAnsi="Times New Roman" w:eastAsia="仿宋_GB2312" w:cs="Times New Roman"/>
          <w:color w:val="auto"/>
          <w:szCs w:val="36"/>
          <w:highlight w:val="none"/>
        </w:rPr>
      </w:pPr>
      <w:r>
        <w:rPr>
          <w:rFonts w:hint="eastAsia" w:ascii="Times New Roman" w:hAnsi="Times New Roman" w:eastAsia="仿宋_GB2312" w:cs="Times New Roman"/>
          <w:b/>
          <w:bCs/>
          <w:color w:val="auto"/>
          <w:kern w:val="44"/>
          <w:sz w:val="36"/>
          <w:szCs w:val="36"/>
          <w:lang w:val="en-US" w:eastAsia="zh-CN" w:bidi="ar-SA"/>
        </w:rPr>
        <w:t>第四章</w:t>
      </w:r>
      <w:bookmarkStart w:id="118" w:name="_Toc24656"/>
      <w:r>
        <w:rPr>
          <w:rFonts w:ascii="Times New Roman" w:hAnsi="Times New Roman" w:eastAsia="仿宋_GB2312" w:cs="Times New Roman"/>
          <w:color w:val="auto"/>
          <w:szCs w:val="36"/>
          <w:highlight w:val="none"/>
        </w:rPr>
        <w:t>项目区实施方案</w:t>
      </w:r>
      <w:bookmarkEnd w:id="115"/>
      <w:bookmarkEnd w:id="116"/>
      <w:bookmarkEnd w:id="117"/>
      <w:bookmarkEnd w:id="118"/>
    </w:p>
    <w:p>
      <w:pPr>
        <w:pStyle w:val="3"/>
        <w:bidi w:val="0"/>
        <w:rPr>
          <w:color w:val="auto"/>
          <w:highlight w:val="none"/>
        </w:rPr>
      </w:pPr>
      <w:bookmarkStart w:id="119" w:name="_Toc8669"/>
      <w:bookmarkStart w:id="120" w:name="_Toc19877"/>
      <w:bookmarkStart w:id="121" w:name="_Toc4567"/>
      <w:r>
        <w:rPr>
          <w:color w:val="auto"/>
          <w:highlight w:val="none"/>
        </w:rPr>
        <w:t>4.1 拆旧区复垦方案</w:t>
      </w:r>
      <w:bookmarkEnd w:id="119"/>
      <w:bookmarkEnd w:id="120"/>
      <w:bookmarkEnd w:id="121"/>
    </w:p>
    <w:p>
      <w:pPr>
        <w:pStyle w:val="5"/>
        <w:bidi w:val="0"/>
        <w:rPr>
          <w:color w:val="auto"/>
          <w:highlight w:val="none"/>
        </w:rPr>
      </w:pPr>
      <w:r>
        <w:rPr>
          <w:color w:val="auto"/>
          <w:highlight w:val="none"/>
        </w:rPr>
        <w:t>4.1.1 拆旧区土地利用现状</w:t>
      </w:r>
    </w:p>
    <w:p>
      <w:pPr>
        <w:bidi w:val="0"/>
        <w:ind w:firstLine="560" w:firstLineChars="200"/>
        <w:rPr>
          <w:color w:val="auto"/>
          <w:highlight w:val="none"/>
        </w:rPr>
      </w:pPr>
      <w:r>
        <w:rPr>
          <w:rFonts w:hint="eastAsia"/>
          <w:color w:val="auto"/>
          <w:highlight w:val="none"/>
          <w:lang w:val="en-US" w:eastAsia="zh-CN"/>
        </w:rPr>
        <w:t>根据和林格尔县</w:t>
      </w:r>
      <w:r>
        <w:rPr>
          <w:rFonts w:hint="default"/>
          <w:color w:val="auto"/>
          <w:highlight w:val="none"/>
          <w:lang w:val="en-US" w:eastAsia="zh-CN"/>
        </w:rPr>
        <w:t>202</w:t>
      </w:r>
      <w:r>
        <w:rPr>
          <w:rFonts w:hint="eastAsia"/>
          <w:color w:val="auto"/>
          <w:highlight w:val="none"/>
          <w:lang w:val="en-US" w:eastAsia="zh-CN"/>
        </w:rPr>
        <w:t>3年度国土变更调查数据，</w:t>
      </w:r>
      <w:r>
        <w:rPr>
          <w:color w:val="auto"/>
          <w:highlight w:val="none"/>
        </w:rPr>
        <w:t>拆旧区总面积</w:t>
      </w:r>
      <w:r>
        <w:rPr>
          <w:rFonts w:hint="eastAsia"/>
          <w:color w:val="auto"/>
          <w:highlight w:val="none"/>
          <w:lang w:val="en-US" w:eastAsia="zh-CN"/>
        </w:rPr>
        <w:t>459.69</w:t>
      </w:r>
      <w:r>
        <w:rPr>
          <w:color w:val="auto"/>
          <w:highlight w:val="none"/>
        </w:rPr>
        <w:t>亩，共</w:t>
      </w:r>
      <w:r>
        <w:rPr>
          <w:rFonts w:hint="eastAsia"/>
          <w:color w:val="auto"/>
          <w:highlight w:val="none"/>
          <w:lang w:val="en-US" w:eastAsia="zh-CN"/>
        </w:rPr>
        <w:t>计22</w:t>
      </w:r>
      <w:r>
        <w:rPr>
          <w:color w:val="auto"/>
          <w:highlight w:val="none"/>
        </w:rPr>
        <w:t>个地块。土地权属性质均为集体建设用地。</w:t>
      </w:r>
      <w:r>
        <w:rPr>
          <w:rFonts w:hint="eastAsia"/>
          <w:color w:val="auto"/>
          <w:highlight w:val="none"/>
          <w:lang w:val="en-US" w:eastAsia="zh-CN"/>
        </w:rPr>
        <w:t>拆旧区地块全部</w:t>
      </w:r>
      <w:r>
        <w:rPr>
          <w:rFonts w:hint="eastAsia"/>
          <w:color w:val="auto"/>
          <w:highlight w:val="none"/>
        </w:rPr>
        <w:t>位于</w:t>
      </w:r>
      <w:r>
        <w:rPr>
          <w:color w:val="auto"/>
          <w:highlight w:val="none"/>
        </w:rPr>
        <w:t>202</w:t>
      </w:r>
      <w:r>
        <w:rPr>
          <w:rFonts w:hint="eastAsia"/>
          <w:color w:val="auto"/>
          <w:highlight w:val="none"/>
          <w:lang w:val="en-US" w:eastAsia="zh-CN"/>
        </w:rPr>
        <w:t>3</w:t>
      </w:r>
      <w:r>
        <w:rPr>
          <w:rFonts w:hint="eastAsia"/>
          <w:color w:val="auto"/>
          <w:highlight w:val="none"/>
        </w:rPr>
        <w:t>年</w:t>
      </w:r>
      <w:r>
        <w:rPr>
          <w:rFonts w:hint="eastAsia"/>
          <w:color w:val="auto"/>
          <w:highlight w:val="none"/>
          <w:lang w:val="en-US" w:eastAsia="zh-CN"/>
        </w:rPr>
        <w:t>度国土变更调查数据库中城镇村等用地范围，权属为集体土地土地利用现状为</w:t>
      </w:r>
      <w:r>
        <w:rPr>
          <w:rFonts w:hint="eastAsia" w:ascii="Times New Roman" w:hAnsi="Times New Roman" w:cs="Times New Roman"/>
          <w:color w:val="auto"/>
          <w:highlight w:val="none"/>
          <w:lang w:val="en-US" w:eastAsia="zh-CN"/>
        </w:rPr>
        <w:t>农村居民点</w:t>
      </w:r>
      <w:r>
        <w:rPr>
          <w:rFonts w:hint="eastAsia"/>
          <w:color w:val="auto"/>
          <w:highlight w:val="none"/>
          <w:lang w:val="en-US" w:eastAsia="zh-CN"/>
        </w:rPr>
        <w:t>（203）</w:t>
      </w:r>
      <w:r>
        <w:rPr>
          <w:color w:val="auto"/>
          <w:highlight w:val="none"/>
        </w:rPr>
        <w:t>。</w:t>
      </w:r>
    </w:p>
    <w:p>
      <w:pPr>
        <w:bidi w:val="0"/>
        <w:ind w:firstLine="560" w:firstLineChars="200"/>
        <w:rPr>
          <w:rFonts w:hint="default"/>
          <w:color w:val="auto"/>
          <w:highlight w:val="none"/>
          <w:lang w:val="en-US" w:eastAsia="zh-CN"/>
        </w:rPr>
      </w:pPr>
      <w:r>
        <w:rPr>
          <w:rFonts w:hint="eastAsia"/>
          <w:color w:val="auto"/>
          <w:highlight w:val="none"/>
          <w:lang w:val="en-US" w:eastAsia="zh-CN"/>
        </w:rPr>
        <w:t>通过对项目拆旧区进行实地踏勘调查，拆旧区地形坡度为</w:t>
      </w:r>
      <w:r>
        <w:rPr>
          <w:rFonts w:hint="default"/>
          <w:color w:val="auto"/>
          <w:highlight w:val="none"/>
          <w:lang w:val="en-US" w:eastAsia="zh-CN"/>
        </w:rPr>
        <w:t>0°-6°</w:t>
      </w:r>
      <w:r>
        <w:rPr>
          <w:rFonts w:hint="eastAsia"/>
          <w:color w:val="auto"/>
          <w:highlight w:val="none"/>
          <w:lang w:val="en-US" w:eastAsia="zh-CN"/>
        </w:rPr>
        <w:t>，</w:t>
      </w:r>
      <w:r>
        <w:rPr>
          <w:rFonts w:hint="default" w:ascii="Times New Roman" w:hAnsi="Times New Roman" w:eastAsia="仿宋" w:cs="Times New Roman"/>
          <w:color w:val="auto"/>
          <w:sz w:val="28"/>
          <w:szCs w:val="28"/>
          <w:highlight w:val="none"/>
          <w:lang w:val="en-US" w:eastAsia="zh-CN"/>
        </w:rPr>
        <w:t>表层土质经长期的人为活动</w:t>
      </w:r>
      <w:r>
        <w:rPr>
          <w:rFonts w:hint="eastAsia" w:ascii="Times New Roman" w:hAnsi="Times New Roman" w:cs="Times New Roman"/>
          <w:color w:val="auto"/>
          <w:sz w:val="28"/>
          <w:szCs w:val="28"/>
          <w:highlight w:val="none"/>
          <w:lang w:val="en-US" w:eastAsia="zh-CN"/>
        </w:rPr>
        <w:t>已</w:t>
      </w:r>
      <w:r>
        <w:rPr>
          <w:rFonts w:hint="default" w:ascii="Times New Roman" w:hAnsi="Times New Roman" w:eastAsia="仿宋" w:cs="Times New Roman"/>
          <w:color w:val="auto"/>
          <w:sz w:val="28"/>
          <w:szCs w:val="28"/>
          <w:highlight w:val="none"/>
          <w:lang w:val="en-US" w:eastAsia="zh-CN"/>
        </w:rPr>
        <w:t>破坏，地表2cm-4cm的砾石较多</w:t>
      </w:r>
      <w:r>
        <w:rPr>
          <w:rFonts w:hint="eastAsia" w:ascii="Times New Roman" w:hAnsi="Times New Roman"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输配电线路完好</w:t>
      </w:r>
      <w:r>
        <w:rPr>
          <w:rFonts w:hint="eastAsia" w:ascii="Times New Roman" w:hAnsi="Times New Roman"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出行道路较为方便</w:t>
      </w:r>
      <w:r>
        <w:rPr>
          <w:rFonts w:hint="default" w:ascii="Times New Roman" w:hAnsi="Times New Roman" w:eastAsia="仿宋" w:cs="Times New Roman"/>
          <w:color w:val="auto"/>
          <w:sz w:val="28"/>
          <w:szCs w:val="28"/>
          <w:highlight w:val="none"/>
          <w:lang w:eastAsia="zh-CN"/>
        </w:rPr>
        <w:t>。</w:t>
      </w:r>
      <w:r>
        <w:rPr>
          <w:rFonts w:hint="eastAsia" w:ascii="Times New Roman" w:hAnsi="Times New Roman" w:cs="Times New Roman"/>
          <w:color w:val="auto"/>
          <w:sz w:val="28"/>
          <w:szCs w:val="28"/>
          <w:highlight w:val="none"/>
          <w:lang w:val="en-US" w:eastAsia="zh-CN"/>
        </w:rPr>
        <w:t>复垦后进行地表清运</w:t>
      </w:r>
      <w:r>
        <w:rPr>
          <w:rFonts w:hint="eastAsia" w:cs="Times New Roman"/>
          <w:color w:val="auto"/>
          <w:sz w:val="28"/>
          <w:szCs w:val="28"/>
          <w:highlight w:val="none"/>
          <w:lang w:val="en-US" w:eastAsia="zh-CN"/>
        </w:rPr>
        <w:t>土地平整</w:t>
      </w:r>
      <w:r>
        <w:rPr>
          <w:rFonts w:hint="eastAsia" w:ascii="Times New Roman" w:hAnsi="Times New Roman" w:cs="Times New Roman"/>
          <w:color w:val="auto"/>
          <w:sz w:val="28"/>
          <w:szCs w:val="28"/>
          <w:highlight w:val="none"/>
          <w:lang w:val="en-US" w:eastAsia="zh-CN"/>
        </w:rPr>
        <w:t>表层覆土等一系列措施。</w:t>
      </w:r>
    </w:p>
    <w:p>
      <w:pPr>
        <w:pStyle w:val="90"/>
        <w:bidi w:val="0"/>
        <w:rPr>
          <w:rFonts w:hint="default" w:ascii="Times New Roman" w:hAnsi="Times New Roman" w:eastAsia="仿宋" w:cs="Times New Roman"/>
          <w:color w:val="auto"/>
          <w:sz w:val="24"/>
          <w:szCs w:val="24"/>
          <w:highlight w:val="none"/>
          <w:lang w:eastAsia="zh-CN"/>
        </w:rPr>
      </w:pPr>
      <w:r>
        <w:rPr>
          <w:rFonts w:hint="default" w:ascii="Times New Roman" w:hAnsi="Times New Roman" w:eastAsia="仿宋" w:cs="Times New Roman"/>
          <w:color w:val="auto"/>
          <w:sz w:val="24"/>
          <w:szCs w:val="24"/>
          <w:highlight w:val="none"/>
        </w:rPr>
        <w:t xml:space="preserve">表4-1  </w:t>
      </w:r>
      <w:r>
        <w:rPr>
          <w:rFonts w:hint="eastAsia" w:cs="Times New Roman"/>
          <w:color w:val="auto"/>
          <w:sz w:val="24"/>
          <w:szCs w:val="24"/>
          <w:highlight w:val="none"/>
          <w:lang w:val="en-US" w:eastAsia="zh-CN"/>
        </w:rPr>
        <w:t>和林格尔县</w:t>
      </w:r>
      <w:r>
        <w:rPr>
          <w:rFonts w:hint="default" w:ascii="Times New Roman" w:hAnsi="Times New Roman" w:eastAsia="仿宋" w:cs="Times New Roman"/>
          <w:color w:val="auto"/>
          <w:sz w:val="24"/>
          <w:szCs w:val="24"/>
          <w:highlight w:val="none"/>
          <w:lang w:val="en-US" w:eastAsia="zh-CN"/>
        </w:rPr>
        <w:t>202</w:t>
      </w:r>
      <w:r>
        <w:rPr>
          <w:rFonts w:hint="eastAsia" w:cs="Times New Roman"/>
          <w:color w:val="auto"/>
          <w:sz w:val="24"/>
          <w:szCs w:val="24"/>
          <w:highlight w:val="none"/>
          <w:lang w:val="en-US" w:eastAsia="zh-CN"/>
        </w:rPr>
        <w:t>5</w:t>
      </w:r>
      <w:r>
        <w:rPr>
          <w:rFonts w:hint="default" w:ascii="Times New Roman" w:hAnsi="Times New Roman" w:eastAsia="仿宋" w:cs="Times New Roman"/>
          <w:color w:val="auto"/>
          <w:sz w:val="24"/>
          <w:szCs w:val="24"/>
          <w:highlight w:val="none"/>
          <w:lang w:eastAsia="zh-CN"/>
        </w:rPr>
        <w:t>年城乡建设用地增减挂钩项目区实施方案</w:t>
      </w:r>
    </w:p>
    <w:p>
      <w:pPr>
        <w:pStyle w:val="90"/>
        <w:bidi w:val="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拆旧区地类统计表</w:t>
      </w:r>
    </w:p>
    <w:tbl>
      <w:tblPr>
        <w:tblStyle w:val="2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7"/>
        <w:gridCol w:w="1278"/>
        <w:gridCol w:w="1387"/>
        <w:gridCol w:w="1059"/>
        <w:gridCol w:w="1480"/>
        <w:gridCol w:w="1269"/>
        <w:gridCol w:w="12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blHeader/>
        </w:trPr>
        <w:tc>
          <w:tcPr>
            <w:tcW w:w="120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项目区单位</w:t>
            </w:r>
          </w:p>
        </w:tc>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地块编号</w:t>
            </w:r>
          </w:p>
        </w:tc>
        <w:tc>
          <w:tcPr>
            <w:tcW w:w="62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权属</w:t>
            </w:r>
          </w:p>
        </w:tc>
        <w:tc>
          <w:tcPr>
            <w:tcW w:w="161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土地利用现状及地类</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拆旧区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blHeader/>
        </w:trPr>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乡镇</w:t>
            </w:r>
          </w:p>
        </w:tc>
        <w:tc>
          <w:tcPr>
            <w:tcW w:w="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行政村</w:t>
            </w:r>
          </w:p>
        </w:tc>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p>
        </w:tc>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土地利用现状</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地类情况</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总计（亩）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巧什营镇</w:t>
            </w:r>
          </w:p>
        </w:tc>
        <w:tc>
          <w:tcPr>
            <w:tcW w:w="75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巴尔旦营村</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BRDYC-CJ-01</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农村集体</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农村宅基地</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3.76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BRDYC-CJ-02</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农村集体</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农村宅基地</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3.39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BRDYC-CJ-03</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农村集体</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农村宅基地</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7.03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BRDYC-CJ-04</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农村集体</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农村宅基地</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8.69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BRDYC-CJ-05</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农村集体</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农村宅基地</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2.75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BRDYC-CJ-06</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农村集体</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农村宅基地</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0.94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3051"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小计</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26.56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岱洲窑村</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DZYC-CJ-01</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农村集体</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农村宅基地</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184.48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DZYC-CJ-02</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农村集体</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农村宅基地</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62.53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DZYC-CJ-03</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农村集体</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农村宅基地</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1.19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3051"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小计</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248.21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一间房村</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YJFC-CJ-01</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农村集体</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农村宅基地</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10.69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YJFC-CJ-02</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农村集体</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农村宅基地</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5.61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YJFC-CJ-03</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农村集体</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农村宅基地</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4.74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YJFC-CJ-04</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农村集体</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农村宅基地</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68.49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YJFC-CJ-05</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农村集体</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农村宅基地</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45.88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YJFC-CJ-06</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农村集体</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农村宅基地</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0.29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YJFC-CJ-07</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农村集体</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农村宅基地</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8.05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YJFC-CJ-08</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农村集体</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农村宅基地</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2.27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YJFC-CJ-09</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农村集体</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农村宅基地</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12.14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YJFC-CJ-10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农村集体</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农村宅基地</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24.78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YJFC-CJ-11</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农村集体</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农村宅基地</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0.44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YJFC-CJ-12</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农村集体</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农村宅基地</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0.42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YJFC-CJ-13</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农村集体</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农村宅基地</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1.12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p>
        </w:tc>
        <w:tc>
          <w:tcPr>
            <w:tcW w:w="3051"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小计</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184.93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380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总计</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459.69 </w:t>
            </w:r>
          </w:p>
        </w:tc>
      </w:tr>
    </w:tbl>
    <w:p>
      <w:pPr>
        <w:pStyle w:val="5"/>
        <w:bidi w:val="0"/>
        <w:rPr>
          <w:color w:val="auto"/>
          <w:highlight w:val="none"/>
        </w:rPr>
      </w:pPr>
      <w:r>
        <w:rPr>
          <w:color w:val="auto"/>
          <w:highlight w:val="none"/>
        </w:rPr>
        <w:t>4.1.2 拆旧区土地复垦适宜性评价</w:t>
      </w:r>
    </w:p>
    <w:p>
      <w:pPr>
        <w:bidi w:val="0"/>
        <w:ind w:firstLine="560" w:firstLineChars="200"/>
        <w:rPr>
          <w:color w:val="auto"/>
          <w:highlight w:val="none"/>
        </w:rPr>
      </w:pPr>
      <w:r>
        <w:rPr>
          <w:color w:val="auto"/>
          <w:highlight w:val="none"/>
        </w:rPr>
        <w:t>土地复垦适宜性评价是土地复垦规划、利用方向和改良途径选择的基础，对废弃建设用地土地复垦具有多重意义，不仅为最终土地复垦方向的确定提供依据，而且为复垦技术的选择提供参考、因地制宜地制定复垦标准提供依据。</w:t>
      </w:r>
    </w:p>
    <w:p>
      <w:pPr>
        <w:bidi w:val="0"/>
        <w:rPr>
          <w:b/>
          <w:bCs/>
          <w:color w:val="auto"/>
          <w:highlight w:val="none"/>
          <w:lang w:val="zh-CN"/>
        </w:rPr>
      </w:pPr>
      <w:r>
        <w:rPr>
          <w:b/>
          <w:bCs/>
          <w:color w:val="auto"/>
          <w:highlight w:val="none"/>
        </w:rPr>
        <w:t>1、</w:t>
      </w:r>
      <w:r>
        <w:rPr>
          <w:b/>
          <w:bCs/>
          <w:color w:val="auto"/>
          <w:highlight w:val="none"/>
          <w:lang w:val="zh-CN"/>
        </w:rPr>
        <w:t>评价原则</w:t>
      </w:r>
    </w:p>
    <w:p>
      <w:pPr>
        <w:bidi w:val="0"/>
        <w:ind w:firstLine="560" w:firstLineChars="200"/>
        <w:rPr>
          <w:color w:val="auto"/>
          <w:highlight w:val="none"/>
          <w:lang w:val="zh-CN"/>
        </w:rPr>
      </w:pPr>
      <w:r>
        <w:rPr>
          <w:color w:val="auto"/>
          <w:highlight w:val="none"/>
          <w:lang w:val="zh-CN"/>
        </w:rPr>
        <w:t>1）符合</w:t>
      </w:r>
      <w:r>
        <w:rPr>
          <w:rFonts w:hint="eastAsia"/>
          <w:color w:val="auto"/>
          <w:highlight w:val="none"/>
          <w:lang w:val="en-US" w:eastAsia="zh-CN"/>
        </w:rPr>
        <w:t>村庄</w:t>
      </w:r>
      <w:r>
        <w:rPr>
          <w:color w:val="auto"/>
          <w:highlight w:val="none"/>
          <w:lang w:val="zh-CN"/>
        </w:rPr>
        <w:t>规划，并与其他规划相协调原则</w:t>
      </w:r>
    </w:p>
    <w:p>
      <w:pPr>
        <w:bidi w:val="0"/>
        <w:ind w:firstLine="560" w:firstLineChars="200"/>
        <w:rPr>
          <w:color w:val="auto"/>
          <w:highlight w:val="none"/>
          <w:lang w:val="zh-CN"/>
        </w:rPr>
      </w:pPr>
      <w:r>
        <w:rPr>
          <w:color w:val="auto"/>
          <w:highlight w:val="none"/>
          <w:lang w:val="zh-CN"/>
        </w:rPr>
        <w:t>在确定待复垦土地适宜性时，不仅考虑被评价土地的自然条件，而且充分考虑</w:t>
      </w:r>
      <w:r>
        <w:rPr>
          <w:rFonts w:hint="eastAsia"/>
          <w:color w:val="auto"/>
          <w:highlight w:val="none"/>
          <w:lang w:val="en-US" w:eastAsia="zh-CN"/>
        </w:rPr>
        <w:t>和林格尔县村庄</w:t>
      </w:r>
      <w:r>
        <w:rPr>
          <w:color w:val="auto"/>
          <w:highlight w:val="none"/>
          <w:lang w:val="zh-CN"/>
        </w:rPr>
        <w:t>规划，遵循局部服从全局的原则，将复垦土地纳入到</w:t>
      </w:r>
      <w:r>
        <w:rPr>
          <w:rFonts w:hint="eastAsia"/>
          <w:color w:val="auto"/>
          <w:highlight w:val="none"/>
          <w:lang w:val="en-US" w:eastAsia="zh-CN"/>
        </w:rPr>
        <w:t>和林格尔县村庄</w:t>
      </w:r>
      <w:r>
        <w:rPr>
          <w:color w:val="auto"/>
          <w:highlight w:val="none"/>
          <w:lang w:val="zh-CN"/>
        </w:rPr>
        <w:t>规划中。</w:t>
      </w:r>
    </w:p>
    <w:p>
      <w:pPr>
        <w:bidi w:val="0"/>
        <w:ind w:firstLine="560" w:firstLineChars="200"/>
        <w:rPr>
          <w:color w:val="auto"/>
          <w:highlight w:val="none"/>
          <w:lang w:val="zh-CN"/>
        </w:rPr>
      </w:pPr>
      <w:r>
        <w:rPr>
          <w:color w:val="auto"/>
          <w:highlight w:val="none"/>
          <w:lang w:val="zh-CN"/>
        </w:rPr>
        <w:t>2）因地制宜原则</w:t>
      </w:r>
    </w:p>
    <w:p>
      <w:pPr>
        <w:bidi w:val="0"/>
        <w:ind w:firstLine="560" w:firstLineChars="200"/>
        <w:rPr>
          <w:rFonts w:ascii="Times New Roman" w:hAnsi="Times New Roman" w:eastAsia="仿宋_GB2312" w:cs="Times New Roman"/>
          <w:color w:val="auto"/>
          <w:szCs w:val="28"/>
          <w:highlight w:val="none"/>
          <w:lang w:val="zh-CN"/>
        </w:rPr>
      </w:pPr>
      <w:r>
        <w:rPr>
          <w:color w:val="auto"/>
          <w:highlight w:val="none"/>
          <w:lang w:val="zh-CN"/>
        </w:rPr>
        <w:t>适宜性评价依据当地的自然条件、社会经济条件和居民生产生活习惯等，设计土地复垦方向，土地利用受制于自然条件，一种利用方式，必须具有与之相应的自然条件和配套设施。根据被破坏前后土地拥有的基础设施和环境条件，土地复垦扬长避短，发挥优势，确定合理的利用方向，复垦后的土地，宜农则农，宜林则林，宜牧则牧。</w:t>
      </w:r>
    </w:p>
    <w:p>
      <w:pPr>
        <w:bidi w:val="0"/>
        <w:ind w:firstLine="560" w:firstLineChars="200"/>
        <w:rPr>
          <w:color w:val="auto"/>
          <w:highlight w:val="none"/>
          <w:lang w:val="zh-CN"/>
        </w:rPr>
      </w:pPr>
      <w:r>
        <w:rPr>
          <w:color w:val="auto"/>
          <w:highlight w:val="none"/>
          <w:lang w:val="zh-CN"/>
        </w:rPr>
        <w:t>3）耕地优先和综合效益最佳原则</w:t>
      </w:r>
    </w:p>
    <w:p>
      <w:pPr>
        <w:bidi w:val="0"/>
        <w:ind w:firstLine="560" w:firstLineChars="200"/>
        <w:rPr>
          <w:color w:val="auto"/>
          <w:highlight w:val="none"/>
          <w:lang w:val="zh-CN"/>
        </w:rPr>
      </w:pPr>
      <w:r>
        <w:rPr>
          <w:color w:val="auto"/>
          <w:highlight w:val="none"/>
          <w:lang w:val="zh-CN"/>
        </w:rPr>
        <w:t>在确定土地复垦方向时，首先考虑复垦为耕地，使十八亿亩红线不仅成为口号和底线，还能得到保障和扩大。同时，土地复垦以最小投入取得最佳的经济、社会和生态效益，以发挥土地复垦的整体效益。</w:t>
      </w:r>
    </w:p>
    <w:p>
      <w:pPr>
        <w:bidi w:val="0"/>
        <w:ind w:firstLine="560" w:firstLineChars="200"/>
        <w:rPr>
          <w:color w:val="auto"/>
          <w:highlight w:val="none"/>
          <w:lang w:val="zh-CN"/>
        </w:rPr>
      </w:pPr>
      <w:r>
        <w:rPr>
          <w:color w:val="auto"/>
          <w:highlight w:val="none"/>
          <w:lang w:val="zh-CN"/>
        </w:rPr>
        <w:t>4）主导限制因素与综合平衡原则</w:t>
      </w:r>
    </w:p>
    <w:p>
      <w:pPr>
        <w:bidi w:val="0"/>
        <w:ind w:firstLine="560" w:firstLineChars="200"/>
        <w:rPr>
          <w:color w:val="auto"/>
          <w:highlight w:val="none"/>
          <w:lang w:val="zh-CN"/>
        </w:rPr>
      </w:pPr>
      <w:r>
        <w:rPr>
          <w:color w:val="auto"/>
          <w:highlight w:val="none"/>
          <w:lang w:val="zh-CN"/>
        </w:rPr>
        <w:t>土地复垦是一个多要素构成的复杂的开放系统。土地要素的不同组合及其作用的消长，构成了复杂多样的土地类型，遭损毁的土地质量不但取决于构成土地的自然要素（如气温、降水、地形与坡度、灌排条件、土壤质地等），同时还受到社会、经济及技术条件的制约。评价过程中，在综合分析多种因素的基础上，识别主导因素，综合平衡，客观地反映土地复垦适应性。</w:t>
      </w:r>
    </w:p>
    <w:p>
      <w:pPr>
        <w:bidi w:val="0"/>
        <w:ind w:firstLine="560" w:firstLineChars="200"/>
        <w:rPr>
          <w:color w:val="auto"/>
          <w:highlight w:val="none"/>
          <w:lang w:val="zh-CN"/>
        </w:rPr>
      </w:pPr>
      <w:r>
        <w:rPr>
          <w:color w:val="auto"/>
          <w:highlight w:val="none"/>
          <w:lang w:val="zh-CN"/>
        </w:rPr>
        <w:t>5）复垦后土地可持续利用原则</w:t>
      </w:r>
    </w:p>
    <w:p>
      <w:pPr>
        <w:bidi w:val="0"/>
        <w:ind w:firstLine="560" w:firstLineChars="200"/>
        <w:rPr>
          <w:color w:val="auto"/>
          <w:highlight w:val="none"/>
          <w:lang w:val="zh-CN"/>
        </w:rPr>
      </w:pPr>
      <w:r>
        <w:rPr>
          <w:color w:val="auto"/>
          <w:highlight w:val="none"/>
          <w:lang w:val="zh-CN"/>
        </w:rPr>
        <w:t>复垦后土地能否可持续利用，是检验土地复垦成效的重要指标。因此，在评价时要综合考虑复垦区自然条件、经济发展水平和公众意愿。要把土地复垦当做是造福子孙的百年大计，不能只顾当前不顾长远，更不能照抄照搬，不计后果。从土地利用的过程看，土地复垦必须着眼于未来，保证所选用土地的利用方向具有持续生产能力，防止掠夺式利用农业资源。</w:t>
      </w:r>
    </w:p>
    <w:p>
      <w:pPr>
        <w:bidi w:val="0"/>
        <w:ind w:firstLine="560" w:firstLineChars="200"/>
        <w:rPr>
          <w:color w:val="auto"/>
          <w:highlight w:val="none"/>
          <w:lang w:val="zh-CN"/>
        </w:rPr>
      </w:pPr>
      <w:r>
        <w:rPr>
          <w:color w:val="auto"/>
          <w:highlight w:val="none"/>
          <w:lang w:val="zh-CN"/>
        </w:rPr>
        <w:t>6）经济可行、技术合理性原则</w:t>
      </w:r>
    </w:p>
    <w:p>
      <w:pPr>
        <w:bidi w:val="0"/>
        <w:ind w:firstLine="560" w:firstLineChars="200"/>
        <w:rPr>
          <w:color w:val="auto"/>
          <w:highlight w:val="none"/>
          <w:lang w:val="zh-CN"/>
        </w:rPr>
      </w:pPr>
      <w:r>
        <w:rPr>
          <w:color w:val="auto"/>
          <w:highlight w:val="none"/>
          <w:lang w:val="zh-CN"/>
        </w:rPr>
        <w:t>土地有其自然属性，对其利用必须遵循自然规律。同时如何利用土地还要遵循经济规律，符合当地科学技术发展水平。在土地复垦适宜性评价时，要结合当地经济技术条件，本着经济可行、技术合理的原则，确定待复垦土地的利用方向和程度。</w:t>
      </w:r>
    </w:p>
    <w:p>
      <w:pPr>
        <w:bidi w:val="0"/>
        <w:ind w:firstLine="560" w:firstLineChars="200"/>
        <w:rPr>
          <w:color w:val="auto"/>
          <w:highlight w:val="none"/>
          <w:lang w:val="zh-CN"/>
        </w:rPr>
      </w:pPr>
      <w:r>
        <w:rPr>
          <w:color w:val="auto"/>
          <w:highlight w:val="none"/>
          <w:lang w:val="zh-CN"/>
        </w:rPr>
        <w:t>7）社会因素和经济因素相结合原则</w:t>
      </w:r>
    </w:p>
    <w:p>
      <w:pPr>
        <w:bidi w:val="0"/>
        <w:ind w:firstLine="560" w:firstLineChars="200"/>
        <w:rPr>
          <w:color w:val="auto"/>
          <w:highlight w:val="none"/>
          <w:lang w:val="zh-CN"/>
        </w:rPr>
      </w:pPr>
      <w:r>
        <w:rPr>
          <w:color w:val="auto"/>
          <w:highlight w:val="none"/>
          <w:lang w:val="zh-CN"/>
        </w:rPr>
        <w:t>土地是农牧民之根本，关系到社会稳定和经济发展水平。土地复垦适宜性评价从所有权人利益出发，将社会发展和经济发展融于一体。</w:t>
      </w:r>
    </w:p>
    <w:p>
      <w:pPr>
        <w:bidi w:val="0"/>
        <w:ind w:firstLine="1044"/>
        <w:rPr>
          <w:rFonts w:ascii="Times New Roman" w:hAnsi="Times New Roman" w:cs="Times New Roman"/>
          <w:b/>
          <w:bCs/>
          <w:color w:val="auto"/>
          <w:highlight w:val="none"/>
          <w:lang w:val="zh-CN"/>
        </w:rPr>
      </w:pPr>
      <w:r>
        <w:rPr>
          <w:rFonts w:ascii="Times New Roman" w:hAnsi="Times New Roman" w:cs="Times New Roman"/>
          <w:b/>
          <w:bCs/>
          <w:color w:val="auto"/>
          <w:highlight w:val="none"/>
        </w:rPr>
        <w:t>2、</w:t>
      </w:r>
      <w:r>
        <w:rPr>
          <w:rFonts w:ascii="Times New Roman" w:hAnsi="Times New Roman" w:cs="Times New Roman"/>
          <w:b/>
          <w:bCs/>
          <w:color w:val="auto"/>
          <w:highlight w:val="none"/>
          <w:lang w:val="zh-CN"/>
        </w:rPr>
        <w:t>评价依据</w:t>
      </w:r>
    </w:p>
    <w:p>
      <w:pPr>
        <w:bidi w:val="0"/>
        <w:ind w:firstLine="560" w:firstLineChars="200"/>
        <w:rPr>
          <w:color w:val="auto"/>
          <w:highlight w:val="none"/>
          <w:lang w:val="zh-CN"/>
        </w:rPr>
      </w:pPr>
      <w:bookmarkStart w:id="122" w:name="_Toc308503307"/>
      <w:r>
        <w:rPr>
          <w:color w:val="auto"/>
          <w:highlight w:val="none"/>
        </w:rPr>
        <w:t>1</w:t>
      </w:r>
      <w:r>
        <w:rPr>
          <w:color w:val="auto"/>
          <w:highlight w:val="none"/>
          <w:lang w:val="zh-CN"/>
        </w:rPr>
        <w:t>）《土地复垦技术标准》（</w:t>
      </w:r>
      <w:r>
        <w:rPr>
          <w:color w:val="auto"/>
          <w:highlight w:val="none"/>
        </w:rPr>
        <w:t>2013年</w:t>
      </w:r>
      <w:r>
        <w:rPr>
          <w:color w:val="auto"/>
          <w:highlight w:val="none"/>
          <w:lang w:val="zh-CN"/>
        </w:rPr>
        <w:t>）；</w:t>
      </w:r>
    </w:p>
    <w:p>
      <w:pPr>
        <w:bidi w:val="0"/>
        <w:ind w:firstLine="560" w:firstLineChars="200"/>
        <w:rPr>
          <w:color w:val="auto"/>
          <w:highlight w:val="none"/>
        </w:rPr>
      </w:pPr>
      <w:r>
        <w:rPr>
          <w:color w:val="auto"/>
          <w:highlight w:val="none"/>
        </w:rPr>
        <w:t>2</w:t>
      </w:r>
      <w:r>
        <w:rPr>
          <w:color w:val="auto"/>
          <w:highlight w:val="none"/>
          <w:lang w:val="zh-CN"/>
        </w:rPr>
        <w:t>）</w:t>
      </w:r>
      <w:r>
        <w:rPr>
          <w:color w:val="auto"/>
          <w:highlight w:val="none"/>
        </w:rPr>
        <w:t>《土地复垦质量控制标准》（TD/T 1036-2013 ）；</w:t>
      </w:r>
    </w:p>
    <w:p>
      <w:pPr>
        <w:bidi w:val="0"/>
        <w:ind w:firstLine="560" w:firstLineChars="200"/>
        <w:rPr>
          <w:color w:val="auto"/>
          <w:highlight w:val="none"/>
        </w:rPr>
      </w:pPr>
      <w:r>
        <w:rPr>
          <w:color w:val="auto"/>
          <w:highlight w:val="none"/>
        </w:rPr>
        <w:t>3</w:t>
      </w:r>
      <w:r>
        <w:rPr>
          <w:color w:val="auto"/>
          <w:highlight w:val="none"/>
          <w:lang w:val="zh-CN"/>
        </w:rPr>
        <w:t>）</w:t>
      </w:r>
      <w:r>
        <w:rPr>
          <w:color w:val="auto"/>
          <w:highlight w:val="none"/>
        </w:rPr>
        <w:t>《土地复垦方案编制规程》（TD/T 1031.1-2011 ）；</w:t>
      </w:r>
    </w:p>
    <w:p>
      <w:pPr>
        <w:bidi w:val="0"/>
        <w:ind w:firstLine="560" w:firstLineChars="200"/>
        <w:rPr>
          <w:color w:val="auto"/>
          <w:highlight w:val="none"/>
          <w:lang w:val="zh-CN"/>
        </w:rPr>
      </w:pPr>
      <w:r>
        <w:rPr>
          <w:color w:val="auto"/>
          <w:highlight w:val="none"/>
        </w:rPr>
        <w:t>4</w:t>
      </w:r>
      <w:r>
        <w:rPr>
          <w:color w:val="auto"/>
          <w:highlight w:val="none"/>
          <w:lang w:val="zh-CN"/>
        </w:rPr>
        <w:t>）《土地开发整理规划编制规程》（20</w:t>
      </w:r>
      <w:r>
        <w:rPr>
          <w:color w:val="auto"/>
          <w:highlight w:val="none"/>
        </w:rPr>
        <w:t>17</w:t>
      </w:r>
      <w:r>
        <w:rPr>
          <w:color w:val="auto"/>
          <w:highlight w:val="none"/>
          <w:lang w:val="zh-CN"/>
        </w:rPr>
        <w:t>年）；</w:t>
      </w:r>
    </w:p>
    <w:p>
      <w:pPr>
        <w:bidi w:val="0"/>
        <w:ind w:firstLine="560" w:firstLineChars="200"/>
        <w:rPr>
          <w:color w:val="auto"/>
          <w:highlight w:val="none"/>
          <w:lang w:val="zh-CN"/>
        </w:rPr>
      </w:pPr>
      <w:r>
        <w:rPr>
          <w:color w:val="auto"/>
          <w:highlight w:val="none"/>
        </w:rPr>
        <w:t>5</w:t>
      </w:r>
      <w:r>
        <w:rPr>
          <w:color w:val="auto"/>
          <w:highlight w:val="none"/>
          <w:lang w:val="zh-CN"/>
        </w:rPr>
        <w:t>）《土地开发整理项目规划设计规范》（20</w:t>
      </w:r>
      <w:r>
        <w:rPr>
          <w:color w:val="auto"/>
          <w:highlight w:val="none"/>
        </w:rPr>
        <w:t>16</w:t>
      </w:r>
      <w:r>
        <w:rPr>
          <w:color w:val="auto"/>
          <w:highlight w:val="none"/>
          <w:lang w:val="zh-CN"/>
        </w:rPr>
        <w:t>年）；</w:t>
      </w:r>
    </w:p>
    <w:p>
      <w:pPr>
        <w:bidi w:val="0"/>
        <w:ind w:firstLine="560" w:firstLineChars="200"/>
        <w:rPr>
          <w:color w:val="auto"/>
          <w:highlight w:val="none"/>
          <w:lang w:val="zh-CN"/>
        </w:rPr>
      </w:pPr>
      <w:r>
        <w:rPr>
          <w:color w:val="auto"/>
          <w:highlight w:val="none"/>
        </w:rPr>
        <w:t>6</w:t>
      </w:r>
      <w:r>
        <w:rPr>
          <w:color w:val="auto"/>
          <w:highlight w:val="none"/>
          <w:lang w:val="zh-CN"/>
        </w:rPr>
        <w:t>）《耕地后备资源调查与评价技术规程》（TD/T1007－2003）。</w:t>
      </w:r>
    </w:p>
    <w:p>
      <w:pPr>
        <w:bidi w:val="0"/>
        <w:ind w:firstLine="1044"/>
        <w:rPr>
          <w:rFonts w:ascii="Times New Roman" w:hAnsi="Times New Roman" w:cs="Times New Roman"/>
          <w:b/>
          <w:bCs/>
          <w:color w:val="auto"/>
          <w:highlight w:val="none"/>
        </w:rPr>
      </w:pPr>
      <w:bookmarkStart w:id="123" w:name="_Toc6083"/>
      <w:bookmarkStart w:id="124" w:name="_Toc32211"/>
      <w:r>
        <w:rPr>
          <w:rFonts w:ascii="Times New Roman" w:hAnsi="Times New Roman" w:cs="Times New Roman"/>
          <w:b/>
          <w:bCs/>
          <w:color w:val="auto"/>
          <w:highlight w:val="none"/>
        </w:rPr>
        <w:t>3、评价</w:t>
      </w:r>
      <w:bookmarkEnd w:id="122"/>
      <w:r>
        <w:rPr>
          <w:rFonts w:ascii="Times New Roman" w:hAnsi="Times New Roman" w:cs="Times New Roman"/>
          <w:b/>
          <w:bCs/>
          <w:color w:val="auto"/>
          <w:highlight w:val="none"/>
        </w:rPr>
        <w:t>体系和评价方法</w:t>
      </w:r>
      <w:bookmarkEnd w:id="123"/>
      <w:bookmarkEnd w:id="124"/>
    </w:p>
    <w:p>
      <w:pPr>
        <w:bidi w:val="0"/>
        <w:ind w:firstLine="560" w:firstLineChars="200"/>
        <w:rPr>
          <w:color w:val="auto"/>
          <w:highlight w:val="none"/>
        </w:rPr>
      </w:pPr>
      <w:r>
        <w:rPr>
          <w:color w:val="auto"/>
          <w:highlight w:val="none"/>
        </w:rPr>
        <w:t>1）评价体系</w:t>
      </w:r>
    </w:p>
    <w:p>
      <w:pPr>
        <w:bidi w:val="0"/>
        <w:ind w:firstLine="560" w:firstLineChars="200"/>
        <w:rPr>
          <w:color w:val="auto"/>
          <w:highlight w:val="none"/>
        </w:rPr>
      </w:pPr>
      <w:r>
        <w:rPr>
          <w:color w:val="auto"/>
          <w:highlight w:val="none"/>
        </w:rPr>
        <w:t>土地适宜性评价系统主要有二级和三级体系两类。根据项目区的实际情况，本次土地适宜性评价采用二级体系分类，即分为两个序列，土地适宜类和土地质量等，土地适宜类主要分为适宜类和不适宜类（难以利用），类别下面再续分若干土地质量等。</w:t>
      </w:r>
    </w:p>
    <w:p>
      <w:pPr>
        <w:bidi w:val="0"/>
        <w:ind w:firstLine="560" w:firstLineChars="200"/>
        <w:rPr>
          <w:color w:val="auto"/>
          <w:highlight w:val="none"/>
        </w:rPr>
      </w:pPr>
      <w:r>
        <w:rPr>
          <w:color w:val="auto"/>
          <w:highlight w:val="none"/>
        </w:rPr>
        <w:t>2）评价方法</w:t>
      </w:r>
    </w:p>
    <w:p>
      <w:pPr>
        <w:bidi w:val="0"/>
        <w:ind w:firstLine="560" w:firstLineChars="200"/>
        <w:rPr>
          <w:color w:val="auto"/>
          <w:highlight w:val="none"/>
        </w:rPr>
      </w:pPr>
      <w:r>
        <w:rPr>
          <w:color w:val="auto"/>
          <w:highlight w:val="none"/>
        </w:rPr>
        <w:t>评价方法分为定性法和定量法分析两类。定性法是对评价单元的原土地利用状况、土地损毁、公众参与、当地社会经济等情况进行综合定性分析，确定土地复垦方向和适宜性等级。定量分析包括极限条件法、综合指数法与多因素综合模糊法等。</w:t>
      </w:r>
    </w:p>
    <w:p>
      <w:pPr>
        <w:bidi w:val="0"/>
        <w:ind w:firstLine="560" w:firstLineChars="200"/>
        <w:rPr>
          <w:color w:val="auto"/>
          <w:highlight w:val="none"/>
        </w:rPr>
      </w:pPr>
      <w:r>
        <w:rPr>
          <w:color w:val="auto"/>
          <w:highlight w:val="none"/>
        </w:rPr>
        <w:t>本次复垦方案选择综合指数法进行适宜性评价。</w:t>
      </w:r>
    </w:p>
    <w:p>
      <w:pPr>
        <w:bidi w:val="0"/>
        <w:ind w:firstLine="1044"/>
        <w:rPr>
          <w:rFonts w:ascii="Times New Roman" w:hAnsi="Times New Roman" w:cs="Times New Roman"/>
          <w:b/>
          <w:bCs/>
          <w:color w:val="auto"/>
          <w:highlight w:val="none"/>
        </w:rPr>
      </w:pPr>
      <w:bookmarkStart w:id="125" w:name="_Toc295231647"/>
      <w:bookmarkStart w:id="126" w:name="_Toc288118167"/>
      <w:bookmarkStart w:id="127" w:name="_Toc383433719"/>
      <w:bookmarkStart w:id="128" w:name="_Toc7118"/>
      <w:bookmarkStart w:id="129" w:name="_Toc28712"/>
      <w:r>
        <w:rPr>
          <w:rFonts w:ascii="Times New Roman" w:hAnsi="Times New Roman" w:cs="Times New Roman"/>
          <w:b/>
          <w:bCs/>
          <w:color w:val="auto"/>
          <w:highlight w:val="none"/>
        </w:rPr>
        <w:t>4、土地复垦适宜性评价</w:t>
      </w:r>
      <w:bookmarkEnd w:id="125"/>
      <w:bookmarkEnd w:id="126"/>
      <w:r>
        <w:rPr>
          <w:rFonts w:ascii="Times New Roman" w:hAnsi="Times New Roman" w:cs="Times New Roman"/>
          <w:b/>
          <w:bCs/>
          <w:color w:val="auto"/>
          <w:highlight w:val="none"/>
        </w:rPr>
        <w:t>步骤</w:t>
      </w:r>
      <w:bookmarkEnd w:id="127"/>
      <w:bookmarkEnd w:id="128"/>
      <w:bookmarkEnd w:id="129"/>
    </w:p>
    <w:p>
      <w:pPr>
        <w:bidi w:val="0"/>
        <w:ind w:firstLine="560" w:firstLineChars="200"/>
        <w:rPr>
          <w:color w:val="auto"/>
          <w:highlight w:val="none"/>
        </w:rPr>
      </w:pPr>
      <w:r>
        <w:rPr>
          <w:color w:val="auto"/>
          <w:highlight w:val="none"/>
          <w:lang w:val="zh-CN"/>
        </w:rPr>
        <w:t>1）</w:t>
      </w:r>
      <w:r>
        <w:rPr>
          <w:color w:val="auto"/>
          <w:highlight w:val="none"/>
        </w:rPr>
        <w:t>复垦土地适宜性评价单元的划分</w:t>
      </w:r>
    </w:p>
    <w:p>
      <w:pPr>
        <w:bidi w:val="0"/>
        <w:ind w:firstLine="560" w:firstLineChars="200"/>
        <w:rPr>
          <w:color w:val="auto"/>
          <w:highlight w:val="none"/>
        </w:rPr>
      </w:pPr>
      <w:r>
        <w:rPr>
          <w:color w:val="auto"/>
          <w:highlight w:val="none"/>
        </w:rPr>
        <w:t>评价单元的划分在确定土地复垦初步方向的基础上进行划分，划分的评价单元应体现单元内部性质相对均一或相近；单元之间具有差异，能客观地反映出土地在一定时期和空间上的差异。依据上述原则，由于项目区内各地块分布较分散，根据实际地理位置，按拆旧</w:t>
      </w:r>
      <w:r>
        <w:rPr>
          <w:rFonts w:hint="eastAsia"/>
          <w:color w:val="auto"/>
          <w:highlight w:val="none"/>
        </w:rPr>
        <w:t>地块</w:t>
      </w:r>
      <w:r>
        <w:rPr>
          <w:color w:val="auto"/>
          <w:highlight w:val="none"/>
        </w:rPr>
        <w:t>划分评价单元。</w:t>
      </w:r>
    </w:p>
    <w:p>
      <w:pPr>
        <w:bidi w:val="0"/>
        <w:ind w:firstLine="560" w:firstLineChars="200"/>
        <w:rPr>
          <w:color w:val="auto"/>
          <w:highlight w:val="none"/>
        </w:rPr>
      </w:pPr>
      <w:r>
        <w:rPr>
          <w:color w:val="auto"/>
          <w:highlight w:val="none"/>
        </w:rPr>
        <w:t>2</w:t>
      </w:r>
      <w:r>
        <w:rPr>
          <w:color w:val="auto"/>
          <w:highlight w:val="none"/>
          <w:lang w:val="zh-CN"/>
        </w:rPr>
        <w:t>）</w:t>
      </w:r>
      <w:r>
        <w:rPr>
          <w:color w:val="auto"/>
          <w:highlight w:val="none"/>
        </w:rPr>
        <w:t>复垦土地适宜性评价参评因素的选择</w:t>
      </w:r>
    </w:p>
    <w:p>
      <w:pPr>
        <w:bidi w:val="0"/>
        <w:ind w:firstLine="560" w:firstLineChars="200"/>
        <w:rPr>
          <w:color w:val="auto"/>
          <w:highlight w:val="none"/>
        </w:rPr>
      </w:pPr>
      <w:r>
        <w:rPr>
          <w:color w:val="auto"/>
          <w:highlight w:val="none"/>
        </w:rPr>
        <w:t>根据《土地复垦技术标准》、《中国1:100万土地资源图》和相关政策法规，同时借鉴同类土地复垦适宜性评价中参评因素属性及权重的确定方法，把土地复垦适宜性评价等级数确定为4级标准，分别定为：一级（比较适宜）、二级（勉强适宜）、三级（不适宜）、四级（难利用）。参评因素应选择对土地利用影响明显且相对稳定的因素。通过将参评因素状态值对农、林、牧的影响状况及改良程度的难易与各地区的自然条件进行比照，进一步对复垦区的土地适宜性影响明显的因子进行等级划分，得出各因子权重。</w:t>
      </w:r>
    </w:p>
    <w:p>
      <w:pPr>
        <w:bidi w:val="0"/>
        <w:ind w:firstLine="560" w:firstLineChars="200"/>
        <w:rPr>
          <w:color w:val="auto"/>
          <w:highlight w:val="none"/>
        </w:rPr>
      </w:pPr>
      <w:r>
        <w:rPr>
          <w:color w:val="auto"/>
          <w:highlight w:val="none"/>
        </w:rPr>
        <w:t>本方案选出</w:t>
      </w:r>
      <w:r>
        <w:rPr>
          <w:rFonts w:hint="eastAsia"/>
          <w:color w:val="auto"/>
          <w:highlight w:val="none"/>
          <w:lang w:val="en-US" w:eastAsia="zh-CN"/>
        </w:rPr>
        <w:t>6</w:t>
      </w:r>
      <w:r>
        <w:rPr>
          <w:color w:val="auto"/>
          <w:highlight w:val="none"/>
        </w:rPr>
        <w:t>项参评因子，分别为：地形坡度、排灌条件、有效土层厚度、土壤质地、区位条件（道路设施）</w:t>
      </w:r>
      <w:r>
        <w:rPr>
          <w:rFonts w:hint="eastAsia"/>
          <w:color w:val="auto"/>
          <w:highlight w:val="none"/>
        </w:rPr>
        <w:t>、损毁程度</w:t>
      </w:r>
      <w:r>
        <w:rPr>
          <w:color w:val="auto"/>
          <w:highlight w:val="none"/>
        </w:rPr>
        <w:t>。各参评因素的分级指标见下表4-</w:t>
      </w:r>
      <w:r>
        <w:rPr>
          <w:rFonts w:hint="eastAsia"/>
          <w:color w:val="auto"/>
          <w:highlight w:val="none"/>
          <w:lang w:val="en-US" w:eastAsia="zh-CN"/>
        </w:rPr>
        <w:t>2</w:t>
      </w:r>
      <w:r>
        <w:rPr>
          <w:color w:val="auto"/>
          <w:highlight w:val="none"/>
        </w:rPr>
        <w:t>。设每一评价单元有n个单因子加权评价指数，则加权指数和可表示为：</w:t>
      </w:r>
    </w:p>
    <w:p>
      <w:pPr>
        <w:spacing w:line="360" w:lineRule="auto"/>
        <w:ind w:firstLine="1120" w:firstLineChars="400"/>
        <w:rPr>
          <w:rFonts w:eastAsia="仿宋_GB2312"/>
          <w:color w:val="auto"/>
          <w:sz w:val="28"/>
          <w:szCs w:val="28"/>
          <w:highlight w:val="none"/>
        </w:rPr>
      </w:pPr>
      <w:r>
        <w:rPr>
          <w:rFonts w:eastAsia="仿宋_GB2312"/>
          <w:color w:val="auto"/>
          <w:sz w:val="28"/>
          <w:szCs w:val="28"/>
          <w:highlight w:val="none"/>
          <w:lang w:bidi="ar"/>
        </w:rPr>
        <w:object>
          <v:shape id="_x0000_i1025" o:spt="75" type="#_x0000_t75" style="height:33.75pt;width:57pt;" o:ole="t" filled="f" o:preferrelative="t" stroked="f" coordsize="21600,21600">
            <v:path/>
            <v:fill on="f" focussize="0,0"/>
            <v:stroke on="f"/>
            <v:imagedata r:id="rId24" o:title=""/>
            <o:lock v:ext="edit" aspectratio="t"/>
            <w10:wrap type="none"/>
            <w10:anchorlock/>
          </v:shape>
          <o:OLEObject Type="Embed" ProgID="Equation.3" ShapeID="_x0000_i1025" DrawAspect="Content" ObjectID="_1468075725" r:id="rId23">
            <o:LockedField>false</o:LockedField>
          </o:OLEObject>
        </w:object>
      </w:r>
    </w:p>
    <w:p>
      <w:pPr>
        <w:bidi w:val="0"/>
        <w:ind w:firstLine="560" w:firstLineChars="200"/>
        <w:rPr>
          <w:color w:val="auto"/>
          <w:highlight w:val="none"/>
        </w:rPr>
      </w:pPr>
      <w:r>
        <w:rPr>
          <w:color w:val="auto"/>
          <w:highlight w:val="none"/>
        </w:rPr>
        <w:t>其中：Rj表示第j个评价单元最后所得到的评价分数；ai表示该单元在第i个评价因素中所得到的分值；bi表示第i个评价因素所占的权重。如下表4-2：</w:t>
      </w:r>
    </w:p>
    <w:p>
      <w:pPr>
        <w:pStyle w:val="90"/>
        <w:bidi w:val="0"/>
        <w:rPr>
          <w:color w:val="auto"/>
          <w:highlight w:val="none"/>
        </w:rPr>
      </w:pPr>
      <w:r>
        <w:rPr>
          <w:color w:val="auto"/>
          <w:highlight w:val="none"/>
        </w:rPr>
        <w:t>表4-2   拟复垦土地适宜性评价的参评因子、权重及等级表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684"/>
        <w:gridCol w:w="1530"/>
        <w:gridCol w:w="1587"/>
        <w:gridCol w:w="1531"/>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33" w:type="pct"/>
            <w:vMerge w:val="restar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评价因子</w:t>
            </w:r>
          </w:p>
        </w:tc>
        <w:tc>
          <w:tcPr>
            <w:tcW w:w="401" w:type="pct"/>
            <w:vMerge w:val="restar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权重</w:t>
            </w:r>
          </w:p>
        </w:tc>
        <w:tc>
          <w:tcPr>
            <w:tcW w:w="3665" w:type="pct"/>
            <w:gridSpan w:val="4"/>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33" w:type="pct"/>
            <w:vMerge w:val="continue"/>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rPr>
            </w:pPr>
          </w:p>
        </w:tc>
        <w:tc>
          <w:tcPr>
            <w:tcW w:w="401" w:type="pct"/>
            <w:vMerge w:val="continue"/>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rPr>
            </w:pPr>
          </w:p>
        </w:tc>
        <w:tc>
          <w:tcPr>
            <w:tcW w:w="899"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一级（4分）</w:t>
            </w:r>
          </w:p>
        </w:tc>
        <w:tc>
          <w:tcPr>
            <w:tcW w:w="932"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二级（3分）</w:t>
            </w:r>
          </w:p>
        </w:tc>
        <w:tc>
          <w:tcPr>
            <w:tcW w:w="899"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三级（2分）</w:t>
            </w:r>
          </w:p>
        </w:tc>
        <w:tc>
          <w:tcPr>
            <w:tcW w:w="935"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四级（1分）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33"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有效土层厚度</w:t>
            </w:r>
          </w:p>
        </w:tc>
        <w:tc>
          <w:tcPr>
            <w:tcW w:w="401"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eastAsia"/>
                <w:color w:val="auto"/>
                <w:highlight w:val="none"/>
                <w:lang w:val="zh-CN" w:eastAsia="zh-CN"/>
              </w:rPr>
            </w:pPr>
            <w:r>
              <w:rPr>
                <w:rFonts w:hint="default"/>
                <w:color w:val="auto"/>
                <w:highlight w:val="none"/>
              </w:rPr>
              <w:t>0.2</w:t>
            </w:r>
            <w:r>
              <w:rPr>
                <w:rFonts w:hint="eastAsia"/>
                <w:color w:val="auto"/>
                <w:highlight w:val="none"/>
                <w:lang w:val="en-US" w:eastAsia="zh-CN"/>
              </w:rPr>
              <w:t>0</w:t>
            </w:r>
          </w:p>
        </w:tc>
        <w:tc>
          <w:tcPr>
            <w:tcW w:w="899"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＞50厘米</w:t>
            </w:r>
          </w:p>
        </w:tc>
        <w:tc>
          <w:tcPr>
            <w:tcW w:w="932"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50-30厘米</w:t>
            </w:r>
          </w:p>
        </w:tc>
        <w:tc>
          <w:tcPr>
            <w:tcW w:w="899"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30-20厘米</w:t>
            </w:r>
          </w:p>
        </w:tc>
        <w:tc>
          <w:tcPr>
            <w:tcW w:w="935"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＜20厘米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33"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土壤质地</w:t>
            </w:r>
          </w:p>
        </w:tc>
        <w:tc>
          <w:tcPr>
            <w:tcW w:w="401"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rPr>
              <w:t>0.15</w:t>
            </w:r>
          </w:p>
        </w:tc>
        <w:tc>
          <w:tcPr>
            <w:tcW w:w="899"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壤质</w:t>
            </w:r>
          </w:p>
        </w:tc>
        <w:tc>
          <w:tcPr>
            <w:tcW w:w="932"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砂壤质、粘质</w:t>
            </w:r>
          </w:p>
        </w:tc>
        <w:tc>
          <w:tcPr>
            <w:tcW w:w="899"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沙土</w:t>
            </w:r>
          </w:p>
        </w:tc>
        <w:tc>
          <w:tcPr>
            <w:tcW w:w="935"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砂砾质、砾质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33"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排灌条件</w:t>
            </w:r>
          </w:p>
        </w:tc>
        <w:tc>
          <w:tcPr>
            <w:tcW w:w="401"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eastAsia"/>
                <w:color w:val="auto"/>
                <w:highlight w:val="none"/>
                <w:lang w:val="zh-CN" w:eastAsia="zh-CN"/>
              </w:rPr>
            </w:pPr>
            <w:r>
              <w:rPr>
                <w:rFonts w:hint="default"/>
                <w:color w:val="auto"/>
                <w:highlight w:val="none"/>
              </w:rPr>
              <w:t>0.2</w:t>
            </w:r>
            <w:r>
              <w:rPr>
                <w:rFonts w:hint="eastAsia"/>
                <w:color w:val="auto"/>
                <w:highlight w:val="none"/>
                <w:lang w:val="en-US" w:eastAsia="zh-CN"/>
              </w:rPr>
              <w:t>0</w:t>
            </w:r>
          </w:p>
        </w:tc>
        <w:tc>
          <w:tcPr>
            <w:tcW w:w="899"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有灌排设施</w:t>
            </w:r>
          </w:p>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水源有保障</w:t>
            </w:r>
          </w:p>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能自然排水</w:t>
            </w:r>
          </w:p>
        </w:tc>
        <w:tc>
          <w:tcPr>
            <w:tcW w:w="932"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无灌溉设施</w:t>
            </w:r>
          </w:p>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水源有保障</w:t>
            </w:r>
          </w:p>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能自然排水</w:t>
            </w:r>
          </w:p>
        </w:tc>
        <w:tc>
          <w:tcPr>
            <w:tcW w:w="899"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无灌溉设施</w:t>
            </w:r>
          </w:p>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水源无保障</w:t>
            </w:r>
          </w:p>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能自然排水</w:t>
            </w:r>
          </w:p>
        </w:tc>
        <w:tc>
          <w:tcPr>
            <w:tcW w:w="935"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无灌溉设施</w:t>
            </w:r>
          </w:p>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排水不良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33"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地形坡度</w:t>
            </w:r>
          </w:p>
        </w:tc>
        <w:tc>
          <w:tcPr>
            <w:tcW w:w="401"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eastAsia"/>
                <w:color w:val="auto"/>
                <w:highlight w:val="none"/>
                <w:lang w:val="zh-CN" w:eastAsia="zh-CN"/>
              </w:rPr>
            </w:pPr>
            <w:r>
              <w:rPr>
                <w:rFonts w:hint="default"/>
                <w:color w:val="auto"/>
                <w:highlight w:val="none"/>
              </w:rPr>
              <w:t>0.1</w:t>
            </w:r>
            <w:r>
              <w:rPr>
                <w:rFonts w:hint="eastAsia"/>
                <w:color w:val="auto"/>
                <w:highlight w:val="none"/>
                <w:lang w:val="en-US" w:eastAsia="zh-CN"/>
              </w:rPr>
              <w:t>5</w:t>
            </w:r>
          </w:p>
        </w:tc>
        <w:tc>
          <w:tcPr>
            <w:tcW w:w="899"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＜5°</w:t>
            </w:r>
          </w:p>
        </w:tc>
        <w:tc>
          <w:tcPr>
            <w:tcW w:w="932"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5-15°</w:t>
            </w:r>
          </w:p>
        </w:tc>
        <w:tc>
          <w:tcPr>
            <w:tcW w:w="899"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15-25°</w:t>
            </w:r>
          </w:p>
        </w:tc>
        <w:tc>
          <w:tcPr>
            <w:tcW w:w="935"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33"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区位条件</w:t>
            </w:r>
          </w:p>
        </w:tc>
        <w:tc>
          <w:tcPr>
            <w:tcW w:w="401"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eastAsia" w:eastAsia="仿宋"/>
                <w:color w:val="auto"/>
                <w:highlight w:val="none"/>
                <w:lang w:eastAsia="zh-CN"/>
              </w:rPr>
            </w:pPr>
            <w:r>
              <w:rPr>
                <w:rFonts w:hint="default"/>
                <w:color w:val="auto"/>
                <w:highlight w:val="none"/>
              </w:rPr>
              <w:t>0.1</w:t>
            </w:r>
            <w:r>
              <w:rPr>
                <w:rFonts w:hint="eastAsia"/>
                <w:color w:val="auto"/>
                <w:highlight w:val="none"/>
                <w:lang w:val="en-US" w:eastAsia="zh-CN"/>
              </w:rPr>
              <w:t>5</w:t>
            </w:r>
          </w:p>
        </w:tc>
        <w:tc>
          <w:tcPr>
            <w:tcW w:w="899"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优越</w:t>
            </w:r>
          </w:p>
        </w:tc>
        <w:tc>
          <w:tcPr>
            <w:tcW w:w="932"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良好</w:t>
            </w:r>
          </w:p>
        </w:tc>
        <w:tc>
          <w:tcPr>
            <w:tcW w:w="899"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一般</w:t>
            </w:r>
          </w:p>
        </w:tc>
        <w:tc>
          <w:tcPr>
            <w:tcW w:w="935"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不良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33"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损毁程度</w:t>
            </w:r>
          </w:p>
        </w:tc>
        <w:tc>
          <w:tcPr>
            <w:tcW w:w="401"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0.15</w:t>
            </w:r>
          </w:p>
        </w:tc>
        <w:tc>
          <w:tcPr>
            <w:tcW w:w="899"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基本无损毁</w:t>
            </w:r>
          </w:p>
        </w:tc>
        <w:tc>
          <w:tcPr>
            <w:tcW w:w="932"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轻度损毁</w:t>
            </w:r>
          </w:p>
        </w:tc>
        <w:tc>
          <w:tcPr>
            <w:tcW w:w="899"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中度损毁</w:t>
            </w:r>
          </w:p>
        </w:tc>
        <w:tc>
          <w:tcPr>
            <w:tcW w:w="935" w:type="pct"/>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重度损毁</w:t>
            </w:r>
          </w:p>
        </w:tc>
      </w:tr>
    </w:tbl>
    <w:p>
      <w:pPr>
        <w:keepNext w:val="0"/>
        <w:keepLines w:val="0"/>
        <w:pageBreakBefore w:val="0"/>
        <w:widowControl w:val="0"/>
        <w:kinsoku/>
        <w:wordWrap/>
        <w:overflowPunct/>
        <w:topLinePunct w:val="0"/>
        <w:autoSpaceDE/>
        <w:autoSpaceDN/>
        <w:bidi w:val="0"/>
        <w:adjustRightInd/>
        <w:snapToGrid/>
        <w:spacing w:before="313" w:beforeLines="100"/>
        <w:textAlignment w:val="auto"/>
        <w:rPr>
          <w:color w:val="auto"/>
          <w:highlight w:val="none"/>
        </w:rPr>
      </w:pPr>
      <w:r>
        <w:rPr>
          <w:color w:val="auto"/>
          <w:highlight w:val="none"/>
        </w:rPr>
        <w:t>最后根据加权值与复垦方向对照表，确定拟复垦土地的复垦方向，加权值与复垦方向对照表如下表4-3。</w:t>
      </w:r>
    </w:p>
    <w:p>
      <w:pPr>
        <w:spacing w:before="120" w:beforeLines="50" w:after="120" w:afterLines="50"/>
        <w:jc w:val="center"/>
        <w:rPr>
          <w:rFonts w:eastAsia="仿宋_GB2312"/>
          <w:b/>
          <w:color w:val="auto"/>
          <w:sz w:val="24"/>
          <w:highlight w:val="none"/>
        </w:rPr>
      </w:pPr>
      <w:r>
        <w:rPr>
          <w:rFonts w:eastAsia="仿宋_GB2312"/>
          <w:b/>
          <w:color w:val="auto"/>
          <w:sz w:val="24"/>
          <w:highlight w:val="none"/>
          <w:lang w:bidi="ar"/>
        </w:rPr>
        <w:t>表4-3  加权值与复垦方向对照表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2208"/>
        <w:gridCol w:w="2208"/>
        <w:gridCol w:w="2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9" w:type="dxa"/>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复垦方向</w:t>
            </w:r>
          </w:p>
        </w:tc>
        <w:tc>
          <w:tcPr>
            <w:tcW w:w="2208" w:type="dxa"/>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耕地</w:t>
            </w:r>
          </w:p>
        </w:tc>
        <w:tc>
          <w:tcPr>
            <w:tcW w:w="2208" w:type="dxa"/>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eastAsia" w:eastAsia="仿宋"/>
                <w:color w:val="auto"/>
                <w:highlight w:val="none"/>
                <w:lang w:val="en-US" w:eastAsia="zh-CN"/>
              </w:rPr>
            </w:pPr>
            <w:r>
              <w:rPr>
                <w:rFonts w:hint="default"/>
                <w:color w:val="auto"/>
                <w:highlight w:val="none"/>
                <w:lang w:val="zh-CN"/>
              </w:rPr>
              <w:t>草地</w:t>
            </w:r>
            <w:r>
              <w:rPr>
                <w:rFonts w:hint="eastAsia"/>
                <w:color w:val="auto"/>
                <w:highlight w:val="none"/>
                <w:lang w:val="zh-CN"/>
              </w:rPr>
              <w:t>、</w:t>
            </w:r>
            <w:r>
              <w:rPr>
                <w:rFonts w:hint="eastAsia"/>
                <w:color w:val="auto"/>
                <w:highlight w:val="none"/>
                <w:lang w:val="en-US" w:eastAsia="zh-CN"/>
              </w:rPr>
              <w:t>林地</w:t>
            </w:r>
          </w:p>
        </w:tc>
        <w:tc>
          <w:tcPr>
            <w:tcW w:w="2208" w:type="dxa"/>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9" w:type="dxa"/>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加权值</w:t>
            </w:r>
          </w:p>
        </w:tc>
        <w:tc>
          <w:tcPr>
            <w:tcW w:w="2208" w:type="dxa"/>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＞3.00</w:t>
            </w:r>
          </w:p>
        </w:tc>
        <w:tc>
          <w:tcPr>
            <w:tcW w:w="2208" w:type="dxa"/>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2.50-3.00</w:t>
            </w:r>
          </w:p>
        </w:tc>
        <w:tc>
          <w:tcPr>
            <w:tcW w:w="2208" w:type="dxa"/>
            <w:tcBorders>
              <w:tl2br w:val="nil"/>
              <w:tr2bl w:val="nil"/>
            </w:tcBorders>
            <w:noWrap w:val="0"/>
            <w:vAlign w:val="center"/>
          </w:tcPr>
          <w:p>
            <w:pPr>
              <w:pStyle w:val="80"/>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＜2.50</w:t>
            </w:r>
          </w:p>
        </w:tc>
      </w:tr>
    </w:tbl>
    <w:p>
      <w:pPr>
        <w:keepNext w:val="0"/>
        <w:keepLines w:val="0"/>
        <w:pageBreakBefore w:val="0"/>
        <w:widowControl w:val="0"/>
        <w:kinsoku/>
        <w:wordWrap/>
        <w:overflowPunct/>
        <w:topLinePunct w:val="0"/>
        <w:autoSpaceDE/>
        <w:autoSpaceDN/>
        <w:bidi w:val="0"/>
        <w:adjustRightInd/>
        <w:snapToGrid/>
        <w:spacing w:before="157" w:beforeLines="50"/>
        <w:ind w:firstLine="1044"/>
        <w:textAlignment w:val="auto"/>
        <w:rPr>
          <w:rFonts w:ascii="Times New Roman" w:hAnsi="Times New Roman" w:cs="Times New Roman"/>
          <w:b/>
          <w:bCs/>
          <w:color w:val="auto"/>
          <w:highlight w:val="none"/>
        </w:rPr>
      </w:pPr>
      <w:bookmarkStart w:id="130" w:name="_Toc297042190"/>
      <w:bookmarkStart w:id="131" w:name="_Toc300599510"/>
      <w:bookmarkStart w:id="132" w:name="_Toc365018703"/>
      <w:bookmarkStart w:id="133" w:name="_Toc9200"/>
      <w:bookmarkStart w:id="134" w:name="_Toc30488"/>
      <w:bookmarkStart w:id="135" w:name="_Toc15161"/>
      <w:r>
        <w:rPr>
          <w:rFonts w:ascii="Times New Roman" w:hAnsi="Times New Roman" w:cs="Times New Roman"/>
          <w:b/>
          <w:bCs/>
          <w:color w:val="auto"/>
          <w:highlight w:val="none"/>
        </w:rPr>
        <w:t>5、适宜性等级评定</w:t>
      </w:r>
      <w:bookmarkEnd w:id="130"/>
      <w:bookmarkEnd w:id="131"/>
      <w:bookmarkEnd w:id="132"/>
      <w:bookmarkEnd w:id="133"/>
      <w:bookmarkEnd w:id="134"/>
      <w:bookmarkEnd w:id="135"/>
    </w:p>
    <w:p>
      <w:pPr>
        <w:bidi w:val="0"/>
        <w:ind w:firstLine="560" w:firstLineChars="200"/>
        <w:rPr>
          <w:color w:val="auto"/>
          <w:highlight w:val="none"/>
        </w:rPr>
      </w:pPr>
      <w:r>
        <w:rPr>
          <w:color w:val="auto"/>
          <w:highlight w:val="none"/>
        </w:rPr>
        <w:t>根据评价单元土地质量，土地适宜性评价的参评因子、权重及等级表，计算出各评价单元的适宜性评价加权值，确定各个评价单元的复垦方向。计算方法如下，以</w:t>
      </w:r>
      <w:r>
        <w:rPr>
          <w:rFonts w:hint="default"/>
          <w:lang w:val="en-US" w:eastAsia="zh-CN"/>
        </w:rPr>
        <w:t>BRDYC-CJ-01</w:t>
      </w:r>
      <w:r>
        <w:rPr>
          <w:color w:val="auto"/>
          <w:highlight w:val="none"/>
        </w:rPr>
        <w:t>为例：</w:t>
      </w:r>
    </w:p>
    <w:p>
      <w:pPr>
        <w:bidi w:val="0"/>
        <w:ind w:left="0" w:leftChars="0" w:firstLine="0" w:firstLineChars="0"/>
        <w:rPr>
          <w:rFonts w:hint="default" w:eastAsia="仿宋"/>
          <w:color w:val="auto"/>
          <w:highlight w:val="none"/>
          <w:lang w:val="en-US" w:eastAsia="zh-CN"/>
        </w:rPr>
      </w:pPr>
      <w:r>
        <w:rPr>
          <w:color w:val="auto"/>
          <w:highlight w:val="none"/>
        </w:rPr>
        <w:t xml:space="preserve">Ri= </w:t>
      </w:r>
      <w:r>
        <w:rPr>
          <w:rFonts w:hint="eastAsia"/>
          <w:color w:val="auto"/>
          <w:highlight w:val="none"/>
          <w:lang w:val="en-US" w:eastAsia="zh-CN"/>
        </w:rPr>
        <w:t>0.2×4+0.15×4+0.2×2+0.15×4+0.15×2+0.15×4=3.3</w:t>
      </w:r>
    </w:p>
    <w:p>
      <w:pPr>
        <w:bidi w:val="0"/>
        <w:rPr>
          <w:color w:val="auto"/>
          <w:highlight w:val="none"/>
        </w:rPr>
      </w:pPr>
      <w:r>
        <w:rPr>
          <w:color w:val="auto"/>
          <w:highlight w:val="none"/>
        </w:rPr>
        <w:t>根据评价结果，结合</w:t>
      </w:r>
      <w:r>
        <w:rPr>
          <w:rFonts w:hint="eastAsia"/>
          <w:color w:val="auto"/>
          <w:highlight w:val="none"/>
          <w:lang w:eastAsia="zh-CN"/>
        </w:rPr>
        <w:t>和林格尔县</w:t>
      </w:r>
      <w:r>
        <w:rPr>
          <w:rFonts w:hint="eastAsia"/>
          <w:color w:val="auto"/>
          <w:highlight w:val="none"/>
          <w:lang w:val="en-US" w:eastAsia="zh-CN"/>
        </w:rPr>
        <w:t>村庄</w:t>
      </w:r>
      <w:r>
        <w:rPr>
          <w:color w:val="auto"/>
          <w:highlight w:val="none"/>
        </w:rPr>
        <w:t>规划，评价结果见表4-</w:t>
      </w:r>
      <w:r>
        <w:rPr>
          <w:rFonts w:hint="eastAsia"/>
          <w:color w:val="auto"/>
          <w:highlight w:val="none"/>
        </w:rPr>
        <w:t>4</w:t>
      </w:r>
      <w:r>
        <w:rPr>
          <w:color w:val="auto"/>
          <w:highlight w:val="none"/>
        </w:rPr>
        <w:t>。</w:t>
      </w:r>
    </w:p>
    <w:p>
      <w:pPr>
        <w:pStyle w:val="90"/>
        <w:bidi w:val="0"/>
        <w:rPr>
          <w:color w:val="auto"/>
          <w:highlight w:val="none"/>
        </w:rPr>
        <w:sectPr>
          <w:headerReference r:id="rId11" w:type="default"/>
          <w:footerReference r:id="rId12" w:type="default"/>
          <w:pgSz w:w="11905" w:h="16838"/>
          <w:pgMar w:top="1440" w:right="1803" w:bottom="1559" w:left="1803" w:header="851" w:footer="992" w:gutter="0"/>
          <w:pgBorders>
            <w:top w:val="none" w:sz="0" w:space="0"/>
            <w:left w:val="none" w:sz="0" w:space="0"/>
            <w:bottom w:val="none" w:sz="0" w:space="0"/>
            <w:right w:val="none" w:sz="0" w:space="0"/>
          </w:pgBorders>
          <w:pgNumType w:fmt="decimal"/>
          <w:cols w:space="720" w:num="1"/>
          <w:rtlGutter w:val="0"/>
          <w:docGrid w:linePitch="312" w:charSpace="0"/>
        </w:sectPr>
      </w:pPr>
    </w:p>
    <w:p>
      <w:pPr>
        <w:pStyle w:val="90"/>
        <w:bidi w:val="0"/>
        <w:rPr>
          <w:color w:val="auto"/>
          <w:highlight w:val="none"/>
        </w:rPr>
      </w:pPr>
      <w:r>
        <w:rPr>
          <w:color w:val="auto"/>
          <w:highlight w:val="none"/>
        </w:rPr>
        <w:t>表4-4   评价单元适宜性评价加权值及复垦方向</w:t>
      </w:r>
    </w:p>
    <w:tbl>
      <w:tblPr>
        <w:tblStyle w:val="29"/>
        <w:tblW w:w="13964"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2"/>
        <w:gridCol w:w="1815"/>
        <w:gridCol w:w="1129"/>
        <w:gridCol w:w="2966"/>
        <w:gridCol w:w="1786"/>
        <w:gridCol w:w="1004"/>
        <w:gridCol w:w="1004"/>
        <w:gridCol w:w="1003"/>
        <w:gridCol w:w="1392"/>
        <w:gridCol w:w="10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blHeader/>
        </w:trPr>
        <w:tc>
          <w:tcPr>
            <w:tcW w:w="862" w:type="dxa"/>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b/>
                <w:bCs/>
              </w:rPr>
            </w:pPr>
            <w:r>
              <w:rPr>
                <w:rFonts w:hint="eastAsia"/>
                <w:b/>
                <w:bCs/>
                <w:lang w:val="en-US" w:eastAsia="zh-CN"/>
              </w:rPr>
              <w:t>评价单元</w:t>
            </w:r>
          </w:p>
        </w:tc>
        <w:tc>
          <w:tcPr>
            <w:tcW w:w="9704" w:type="dxa"/>
            <w:gridSpan w:val="6"/>
            <w:tcBorders>
              <w:top w:val="single" w:color="000000" w:sz="8" w:space="0"/>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参评因子</w:t>
            </w:r>
          </w:p>
        </w:tc>
        <w:tc>
          <w:tcPr>
            <w:tcW w:w="1003" w:type="dxa"/>
            <w:vMerge w:val="restart"/>
            <w:tcBorders>
              <w:top w:val="single" w:color="000000" w:sz="8" w:space="0"/>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加权值</w:t>
            </w:r>
          </w:p>
        </w:tc>
        <w:tc>
          <w:tcPr>
            <w:tcW w:w="1392" w:type="dxa"/>
            <w:vMerge w:val="restart"/>
            <w:tcBorders>
              <w:top w:val="single" w:color="000000" w:sz="8" w:space="0"/>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复垦方向</w:t>
            </w:r>
          </w:p>
        </w:tc>
        <w:tc>
          <w:tcPr>
            <w:tcW w:w="1003" w:type="dxa"/>
            <w:vMerge w:val="restart"/>
            <w:tcBorders>
              <w:top w:val="single" w:color="000000" w:sz="8" w:space="0"/>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周边地类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blHeader/>
        </w:trPr>
        <w:tc>
          <w:tcPr>
            <w:tcW w:w="862"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土层厚度（</w:t>
            </w:r>
            <w:r>
              <w:rPr>
                <w:rFonts w:hint="default"/>
                <w:b/>
                <w:bCs/>
                <w:lang w:val="en-US" w:eastAsia="zh-CN"/>
              </w:rPr>
              <w:t>cm</w:t>
            </w:r>
            <w:r>
              <w:rPr>
                <w:rFonts w:hint="eastAsia"/>
                <w:b/>
                <w:bCs/>
                <w:lang w:val="en-US" w:eastAsia="zh-CN"/>
              </w:rPr>
              <w:t>）</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土壤质地</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排灌条件</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地形坡度（°）</w:t>
            </w:r>
          </w:p>
        </w:tc>
        <w:tc>
          <w:tcPr>
            <w:tcW w:w="1004" w:type="dxa"/>
            <w:tcBorders>
              <w:top w:val="single" w:color="000000" w:sz="8" w:space="0"/>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区位条件</w:t>
            </w:r>
          </w:p>
        </w:tc>
        <w:tc>
          <w:tcPr>
            <w:tcW w:w="1004" w:type="dxa"/>
            <w:tcBorders>
              <w:top w:val="single" w:color="000000" w:sz="8" w:space="0"/>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损毁程度</w:t>
            </w:r>
          </w:p>
        </w:tc>
        <w:tc>
          <w:tcPr>
            <w:tcW w:w="1003" w:type="dxa"/>
            <w:vMerge w:val="continue"/>
            <w:tcBorders>
              <w:top w:val="single" w:color="000000" w:sz="8" w:space="0"/>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p>
        </w:tc>
        <w:tc>
          <w:tcPr>
            <w:tcW w:w="1392" w:type="dxa"/>
            <w:vMerge w:val="continue"/>
            <w:tcBorders>
              <w:top w:val="single" w:color="000000" w:sz="8" w:space="0"/>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p>
        </w:tc>
        <w:tc>
          <w:tcPr>
            <w:tcW w:w="1003" w:type="dxa"/>
            <w:vMerge w:val="continue"/>
            <w:tcBorders>
              <w:top w:val="single" w:color="000000" w:sz="8" w:space="0"/>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2" w:type="dxa"/>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BRDYC-CJ-01</w:t>
            </w: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50-30</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壤质</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无灌溉设施水源无保障能自然排水</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w:t>
            </w:r>
            <w:r>
              <w:rPr>
                <w:rFonts w:hint="default"/>
                <w:lang w:val="en-US" w:eastAsia="zh-CN"/>
              </w:rPr>
              <w:t>5</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一般</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无损毁</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3.3</w:t>
            </w:r>
          </w:p>
        </w:tc>
        <w:tc>
          <w:tcPr>
            <w:tcW w:w="1392"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水浇地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2" w:type="dxa"/>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BRDYC-CJ-02</w:t>
            </w: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50-30</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壤质</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无灌溉设施水源无保障能自然排水</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w:t>
            </w:r>
            <w:r>
              <w:rPr>
                <w:rFonts w:hint="default"/>
                <w:lang w:val="en-US" w:eastAsia="zh-CN"/>
              </w:rPr>
              <w:t>5</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一般</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无损毁</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3.3</w:t>
            </w:r>
          </w:p>
        </w:tc>
        <w:tc>
          <w:tcPr>
            <w:tcW w:w="1392"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水浇地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2" w:type="dxa"/>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BRDYC-CJ-03</w:t>
            </w: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50-30</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壤质</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无灌溉设施水源无保障能自然排水</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w:t>
            </w:r>
            <w:r>
              <w:rPr>
                <w:rFonts w:hint="default"/>
                <w:lang w:val="en-US" w:eastAsia="zh-CN"/>
              </w:rPr>
              <w:t>5</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一般</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无损毁</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3.3</w:t>
            </w:r>
          </w:p>
        </w:tc>
        <w:tc>
          <w:tcPr>
            <w:tcW w:w="1392"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水浇地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2" w:type="dxa"/>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BRDYC-CJ-04</w:t>
            </w: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50-30</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壤质</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无灌溉设施水源无保障能自然排水</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w:t>
            </w:r>
            <w:r>
              <w:rPr>
                <w:rFonts w:hint="default"/>
                <w:lang w:val="en-US" w:eastAsia="zh-CN"/>
              </w:rPr>
              <w:t>5</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一般</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无损毁</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3.3</w:t>
            </w:r>
          </w:p>
        </w:tc>
        <w:tc>
          <w:tcPr>
            <w:tcW w:w="1392"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水浇地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2" w:type="dxa"/>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BRDYC-CJ-05</w:t>
            </w: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50-30</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壤质</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无灌溉设施水源无保障能自然排水</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w:t>
            </w:r>
            <w:r>
              <w:rPr>
                <w:rFonts w:hint="default"/>
                <w:lang w:val="en-US" w:eastAsia="zh-CN"/>
              </w:rPr>
              <w:t>5</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一般</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无损毁</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3.3</w:t>
            </w:r>
          </w:p>
        </w:tc>
        <w:tc>
          <w:tcPr>
            <w:tcW w:w="1392"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水浇地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2" w:type="dxa"/>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BRDYC-CJ-06</w:t>
            </w: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50-30</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壤质</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无灌溉设施水源无保障能自然排水</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w:t>
            </w:r>
            <w:r>
              <w:rPr>
                <w:rFonts w:hint="default"/>
                <w:lang w:val="en-US" w:eastAsia="zh-CN"/>
              </w:rPr>
              <w:t>5</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一般</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无损毁</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3.3</w:t>
            </w:r>
          </w:p>
        </w:tc>
        <w:tc>
          <w:tcPr>
            <w:tcW w:w="1392"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水浇地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2" w:type="dxa"/>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DZYC-CJ-01</w:t>
            </w: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50-30</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壤质</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无灌溉设施水源无保障能自然排水</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w:t>
            </w:r>
            <w:r>
              <w:rPr>
                <w:rFonts w:hint="default"/>
                <w:lang w:val="en-US" w:eastAsia="zh-CN"/>
              </w:rPr>
              <w:t>5</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良好</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无损毁</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3.45</w:t>
            </w:r>
          </w:p>
        </w:tc>
        <w:tc>
          <w:tcPr>
            <w:tcW w:w="1392"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水浇地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2" w:type="dxa"/>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DZYC-CJ-02</w:t>
            </w: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50-30</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壤质</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无灌溉设施水源无保障能自然排水</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w:t>
            </w:r>
            <w:r>
              <w:rPr>
                <w:rFonts w:hint="default"/>
                <w:lang w:val="en-US" w:eastAsia="zh-CN"/>
              </w:rPr>
              <w:t>5</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良好</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无损毁</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3.45</w:t>
            </w:r>
          </w:p>
        </w:tc>
        <w:tc>
          <w:tcPr>
            <w:tcW w:w="1392"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水浇地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2" w:type="dxa"/>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DZYC-CJ-03</w:t>
            </w: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50-30</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壤质</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无灌溉设施水源无保障能自然排水</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w:t>
            </w:r>
            <w:r>
              <w:rPr>
                <w:rFonts w:hint="default"/>
                <w:lang w:val="en-US" w:eastAsia="zh-CN"/>
              </w:rPr>
              <w:t>5</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良好</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无损毁</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3.45</w:t>
            </w:r>
          </w:p>
        </w:tc>
        <w:tc>
          <w:tcPr>
            <w:tcW w:w="1392"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水浇地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2" w:type="dxa"/>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YJFC-CJ-01</w:t>
            </w: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50-30</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壤质</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无灌溉设施水源无保障能自然排水</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w:t>
            </w:r>
            <w:r>
              <w:rPr>
                <w:rFonts w:hint="default"/>
                <w:lang w:val="en-US" w:eastAsia="zh-CN"/>
              </w:rPr>
              <w:t>5</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良好</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无损毁</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3.45</w:t>
            </w:r>
          </w:p>
        </w:tc>
        <w:tc>
          <w:tcPr>
            <w:tcW w:w="1392"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水浇地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2" w:type="dxa"/>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YJFC-CJ-02</w:t>
            </w: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50-30</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壤质</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无灌溉设施水源无保障能自然排水</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w:t>
            </w:r>
            <w:r>
              <w:rPr>
                <w:rFonts w:hint="default"/>
                <w:lang w:val="en-US" w:eastAsia="zh-CN"/>
              </w:rPr>
              <w:t>5</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一般</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无损毁</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3.3</w:t>
            </w:r>
          </w:p>
        </w:tc>
        <w:tc>
          <w:tcPr>
            <w:tcW w:w="1392"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水浇地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2" w:type="dxa"/>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YJFC-CJ-03</w:t>
            </w: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50-30</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壤质</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无灌溉设施水源无保障能自然排水</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w:t>
            </w:r>
            <w:r>
              <w:rPr>
                <w:rFonts w:hint="default"/>
                <w:lang w:val="en-US" w:eastAsia="zh-CN"/>
              </w:rPr>
              <w:t>5</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一般</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无损毁</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3.3</w:t>
            </w:r>
          </w:p>
        </w:tc>
        <w:tc>
          <w:tcPr>
            <w:tcW w:w="1392"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水浇地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2" w:type="dxa"/>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YJFC-CJ-04</w:t>
            </w: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50-30</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壤质</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无灌溉设施水源无保障能自然排水</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w:t>
            </w:r>
            <w:r>
              <w:rPr>
                <w:rFonts w:hint="default"/>
                <w:lang w:val="en-US" w:eastAsia="zh-CN"/>
              </w:rPr>
              <w:t>5</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一般</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无损毁</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3.3</w:t>
            </w:r>
          </w:p>
        </w:tc>
        <w:tc>
          <w:tcPr>
            <w:tcW w:w="1392"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水浇地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2" w:type="dxa"/>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YJFC-CJ-05</w:t>
            </w: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50-30</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壤质</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无灌溉设施水源无保障能自然排水</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w:t>
            </w:r>
            <w:r>
              <w:rPr>
                <w:rFonts w:hint="default"/>
                <w:lang w:val="en-US" w:eastAsia="zh-CN"/>
              </w:rPr>
              <w:t>5</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一般</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无损毁</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3.3</w:t>
            </w:r>
          </w:p>
        </w:tc>
        <w:tc>
          <w:tcPr>
            <w:tcW w:w="1392"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水浇地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2" w:type="dxa"/>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YJFC-CJ-06</w:t>
            </w: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50-30</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壤质</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无灌溉设施水源无保障能自然排水</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w:t>
            </w:r>
            <w:r>
              <w:rPr>
                <w:rFonts w:hint="default"/>
                <w:lang w:val="en-US" w:eastAsia="zh-CN"/>
              </w:rPr>
              <w:t>5</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一般</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无损毁</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3.3</w:t>
            </w:r>
          </w:p>
        </w:tc>
        <w:tc>
          <w:tcPr>
            <w:tcW w:w="1392"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水浇地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2" w:type="dxa"/>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YJFC-CJ-07</w:t>
            </w: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50-30</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壤质</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无灌溉设施水源无保障能自然排水</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w:t>
            </w:r>
            <w:r>
              <w:rPr>
                <w:rFonts w:hint="default"/>
                <w:lang w:val="en-US" w:eastAsia="zh-CN"/>
              </w:rPr>
              <w:t>5</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一般</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无损毁</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3.3</w:t>
            </w:r>
          </w:p>
        </w:tc>
        <w:tc>
          <w:tcPr>
            <w:tcW w:w="1392"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水浇地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2" w:type="dxa"/>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YJFC-CJ-08</w:t>
            </w: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50-30</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壤质</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无灌溉设施水源无保障能自然排水</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w:t>
            </w:r>
            <w:r>
              <w:rPr>
                <w:rFonts w:hint="default"/>
                <w:lang w:val="en-US" w:eastAsia="zh-CN"/>
              </w:rPr>
              <w:t>5</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一般</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无损毁</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3.3</w:t>
            </w:r>
          </w:p>
        </w:tc>
        <w:tc>
          <w:tcPr>
            <w:tcW w:w="1392"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水浇地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2" w:type="dxa"/>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YJFC-CJ-09</w:t>
            </w: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50-30</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壤质</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无灌溉设施水源无保障能自然排水</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w:t>
            </w:r>
            <w:r>
              <w:rPr>
                <w:rFonts w:hint="default"/>
                <w:lang w:val="en-US" w:eastAsia="zh-CN"/>
              </w:rPr>
              <w:t>5</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一般</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无损毁</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3.3</w:t>
            </w:r>
          </w:p>
        </w:tc>
        <w:tc>
          <w:tcPr>
            <w:tcW w:w="1392"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水浇地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2" w:type="dxa"/>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YJFC-CJ-10</w:t>
            </w: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50-30</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壤质</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无灌溉设施水源无保障能自然排水</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w:t>
            </w:r>
            <w:r>
              <w:rPr>
                <w:rFonts w:hint="default"/>
                <w:lang w:val="en-US" w:eastAsia="zh-CN"/>
              </w:rPr>
              <w:t>5</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一般</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无损毁</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3.3</w:t>
            </w:r>
          </w:p>
        </w:tc>
        <w:tc>
          <w:tcPr>
            <w:tcW w:w="1392"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水浇地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2" w:type="dxa"/>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YJFC-CJ-11</w:t>
            </w: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50-30</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壤质</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无灌溉设施水源无保障能自然排水</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w:t>
            </w:r>
            <w:r>
              <w:rPr>
                <w:rFonts w:hint="default"/>
                <w:lang w:val="en-US" w:eastAsia="zh-CN"/>
              </w:rPr>
              <w:t>5</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一般</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无损毁</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3.3</w:t>
            </w:r>
          </w:p>
        </w:tc>
        <w:tc>
          <w:tcPr>
            <w:tcW w:w="1392"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水浇地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2" w:type="dxa"/>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YJFC-CJ-12</w:t>
            </w: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50-30</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壤质</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无灌溉设施水源无保障能自然排水</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w:t>
            </w:r>
            <w:r>
              <w:rPr>
                <w:rFonts w:hint="default"/>
                <w:lang w:val="en-US" w:eastAsia="zh-CN"/>
              </w:rPr>
              <w:t>5</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一般</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无损毁</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3.3</w:t>
            </w:r>
          </w:p>
        </w:tc>
        <w:tc>
          <w:tcPr>
            <w:tcW w:w="1392"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水浇地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2" w:type="dxa"/>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YJFC-CJ-13</w:t>
            </w:r>
          </w:p>
        </w:tc>
        <w:tc>
          <w:tcPr>
            <w:tcW w:w="1815"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50-30</w:t>
            </w:r>
          </w:p>
        </w:tc>
        <w:tc>
          <w:tcPr>
            <w:tcW w:w="1129"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壤质</w:t>
            </w:r>
          </w:p>
        </w:tc>
        <w:tc>
          <w:tcPr>
            <w:tcW w:w="296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无灌溉设施水源无保障能自然排水</w:t>
            </w:r>
          </w:p>
        </w:tc>
        <w:tc>
          <w:tcPr>
            <w:tcW w:w="1786"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w:t>
            </w:r>
            <w:r>
              <w:rPr>
                <w:rFonts w:hint="default"/>
                <w:lang w:val="en-US" w:eastAsia="zh-CN"/>
              </w:rPr>
              <w:t>5</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一般</w:t>
            </w:r>
          </w:p>
        </w:tc>
        <w:tc>
          <w:tcPr>
            <w:tcW w:w="1004"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无损毁</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3.3</w:t>
            </w:r>
          </w:p>
        </w:tc>
        <w:tc>
          <w:tcPr>
            <w:tcW w:w="1392"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耕地（旱地）</w:t>
            </w:r>
          </w:p>
        </w:tc>
        <w:tc>
          <w:tcPr>
            <w:tcW w:w="1003" w:type="dxa"/>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水浇地</w:t>
            </w:r>
          </w:p>
        </w:tc>
      </w:tr>
    </w:tbl>
    <w:p>
      <w:pPr>
        <w:pStyle w:val="5"/>
        <w:bidi w:val="0"/>
        <w:ind w:firstLine="562" w:firstLineChars="200"/>
        <w:rPr>
          <w:color w:val="auto"/>
          <w:highlight w:val="none"/>
        </w:rPr>
        <w:sectPr>
          <w:pgSz w:w="16838" w:h="11905" w:orient="landscape"/>
          <w:pgMar w:top="1803" w:right="1440" w:bottom="1803" w:left="1559" w:header="851" w:footer="992" w:gutter="0"/>
          <w:pgBorders>
            <w:top w:val="none" w:sz="0" w:space="0"/>
            <w:left w:val="none" w:sz="0" w:space="0"/>
            <w:bottom w:val="none" w:sz="0" w:space="0"/>
            <w:right w:val="none" w:sz="0" w:space="0"/>
          </w:pgBorders>
          <w:pgNumType w:fmt="decimal"/>
          <w:cols w:space="720" w:num="1"/>
          <w:rtlGutter w:val="0"/>
          <w:docGrid w:linePitch="312" w:charSpace="0"/>
        </w:sectPr>
      </w:pPr>
    </w:p>
    <w:p>
      <w:pPr>
        <w:pStyle w:val="5"/>
        <w:bidi w:val="0"/>
        <w:rPr>
          <w:color w:val="auto"/>
          <w:highlight w:val="none"/>
        </w:rPr>
      </w:pPr>
      <w:r>
        <w:rPr>
          <w:color w:val="auto"/>
          <w:highlight w:val="none"/>
        </w:rPr>
        <w:t>4.1.3 拆旧区土地复垦规划</w:t>
      </w:r>
    </w:p>
    <w:p>
      <w:pPr>
        <w:bidi w:val="0"/>
        <w:rPr>
          <w:rFonts w:hint="default"/>
          <w:b/>
          <w:bCs/>
          <w:color w:val="auto"/>
          <w:highlight w:val="none"/>
        </w:rPr>
      </w:pPr>
      <w:r>
        <w:rPr>
          <w:rFonts w:hint="default"/>
          <w:b/>
          <w:bCs/>
          <w:color w:val="auto"/>
          <w:highlight w:val="none"/>
          <w:lang w:val="en-US" w:eastAsia="zh-CN"/>
        </w:rPr>
        <w:t>1、</w:t>
      </w:r>
      <w:r>
        <w:rPr>
          <w:rFonts w:hint="default"/>
          <w:b/>
          <w:bCs/>
          <w:color w:val="auto"/>
          <w:highlight w:val="none"/>
        </w:rPr>
        <w:t>耕地复垦工程措施</w:t>
      </w:r>
    </w:p>
    <w:p>
      <w:pPr>
        <w:bidi w:val="0"/>
        <w:ind w:firstLine="560" w:firstLineChars="200"/>
        <w:rPr>
          <w:rFonts w:hint="default"/>
          <w:color w:val="auto"/>
          <w:highlight w:val="none"/>
          <w:lang w:val="en-US" w:eastAsia="zh-CN"/>
        </w:rPr>
      </w:pPr>
      <w:r>
        <w:rPr>
          <w:rFonts w:hint="default"/>
          <w:color w:val="auto"/>
          <w:highlight w:val="none"/>
        </w:rPr>
        <w:t>拆旧区地块进行整理复垦为</w:t>
      </w:r>
      <w:r>
        <w:rPr>
          <w:rFonts w:hint="eastAsia"/>
          <w:color w:val="auto"/>
          <w:highlight w:val="none"/>
          <w:lang w:val="en-US" w:eastAsia="zh-CN"/>
        </w:rPr>
        <w:t>耕地</w:t>
      </w:r>
      <w:r>
        <w:rPr>
          <w:rFonts w:hint="default"/>
          <w:color w:val="auto"/>
          <w:highlight w:val="none"/>
          <w:lang w:eastAsia="zh-CN"/>
        </w:rPr>
        <w:t>后</w:t>
      </w:r>
      <w:r>
        <w:rPr>
          <w:rFonts w:hint="default"/>
          <w:color w:val="auto"/>
          <w:highlight w:val="none"/>
        </w:rPr>
        <w:t>，</w:t>
      </w:r>
      <w:r>
        <w:rPr>
          <w:rFonts w:hint="default"/>
          <w:color w:val="auto"/>
          <w:highlight w:val="none"/>
          <w:lang w:eastAsia="zh-CN"/>
        </w:rPr>
        <w:t>复垦后地面坡度小于</w:t>
      </w:r>
      <w:r>
        <w:rPr>
          <w:rFonts w:hint="default"/>
          <w:color w:val="auto"/>
          <w:highlight w:val="none"/>
          <w:lang w:val="en-US" w:eastAsia="zh-CN"/>
        </w:rPr>
        <w:t>15°，有效土层厚度大于50cm，土壤具有较好的肥力，土壤环境质量符合《土壤环境质量标准》（GB15618-2008）。</w:t>
      </w:r>
    </w:p>
    <w:p>
      <w:pPr>
        <w:bidi w:val="0"/>
        <w:ind w:firstLine="560" w:firstLineChars="200"/>
        <w:rPr>
          <w:rFonts w:hint="default"/>
          <w:color w:val="auto"/>
          <w:highlight w:val="none"/>
        </w:rPr>
      </w:pPr>
      <w:r>
        <w:rPr>
          <w:rFonts w:hint="default"/>
          <w:color w:val="auto"/>
          <w:highlight w:val="none"/>
        </w:rPr>
        <w:t>拆旧地块地上附着物和建筑物的拆除和复垦由项目区实施单位统一进行，采用人工或机械修整，整理后拆旧地块新增耕地田面平整，地块集中连片程度增加，达到有效耕作要求。</w:t>
      </w:r>
    </w:p>
    <w:p>
      <w:pPr>
        <w:bidi w:val="0"/>
        <w:ind w:firstLine="560" w:firstLineChars="200"/>
        <w:rPr>
          <w:rFonts w:hint="default"/>
          <w:color w:val="auto"/>
          <w:highlight w:val="none"/>
        </w:rPr>
      </w:pPr>
      <w:r>
        <w:rPr>
          <w:rFonts w:hint="default"/>
          <w:color w:val="auto"/>
          <w:highlight w:val="none"/>
        </w:rPr>
        <w:t>①清理地上构建筑物，如拆迁旧宅房屋，清理旧宅基地、院坝、去除杂物等。</w:t>
      </w:r>
    </w:p>
    <w:p>
      <w:pPr>
        <w:bidi w:val="0"/>
      </w:pPr>
      <w:r>
        <w:rPr>
          <w:rFonts w:hint="default"/>
          <w:color w:val="auto"/>
          <w:highlight w:val="none"/>
        </w:rPr>
        <w:t>②平整地块、</w:t>
      </w:r>
      <w:r>
        <w:rPr>
          <w:rFonts w:hint="eastAsia"/>
          <w:color w:val="auto"/>
          <w:highlight w:val="none"/>
          <w:lang w:val="en-US" w:eastAsia="zh-CN"/>
        </w:rPr>
        <w:t>翻耕、</w:t>
      </w:r>
      <w:r>
        <w:rPr>
          <w:rFonts w:hint="default"/>
          <w:color w:val="auto"/>
          <w:highlight w:val="none"/>
        </w:rPr>
        <w:t>培肥。</w:t>
      </w:r>
      <w:r>
        <w:rPr>
          <w:lang w:val="en-US" w:eastAsia="zh-CN"/>
        </w:rPr>
        <w:t>项目区内需将拆除的构筑物、建筑物、围墙等废弃物遗留下的凹地</w:t>
      </w:r>
      <w:r>
        <w:rPr>
          <w:rFonts w:hint="eastAsia"/>
          <w:lang w:val="en-US" w:eastAsia="zh-CN"/>
        </w:rPr>
        <w:t>进行地面平整，对于地表裂缝和深度不大的地面，设计采用推高填低的方法。为了使一定深度的紧实土层变为疏松细碎的耕层，增加土壤孔隙度，以利于接纳和贮存雨水，促进土壤中潜在养分转化为有效养分和促使作物根系的伸展，提高整地和播种质量，需对复垦为旱地的地块进行翻耕平整工程。翻耕深度根据作物种类、土壤质地、当地气候、季节等多种因素而定。结合项目实际情况，从旧式犁的耕深</w:t>
      </w:r>
      <w:r>
        <w:rPr>
          <w:rFonts w:hint="default"/>
          <w:lang w:val="en-US" w:eastAsia="zh-CN"/>
        </w:rPr>
        <w:t>12</w:t>
      </w:r>
      <w:r>
        <w:rPr>
          <w:rFonts w:hint="eastAsia"/>
          <w:lang w:val="en-US" w:eastAsia="zh-CN"/>
        </w:rPr>
        <w:t>～</w:t>
      </w:r>
      <w:r>
        <w:rPr>
          <w:rFonts w:hint="default"/>
          <w:lang w:val="en-US" w:eastAsia="zh-CN"/>
        </w:rPr>
        <w:t>13</w:t>
      </w:r>
      <w:r>
        <w:rPr>
          <w:rFonts w:hint="eastAsia"/>
          <w:lang w:val="en-US" w:eastAsia="zh-CN"/>
        </w:rPr>
        <w:t>厘米增加到机引犁的</w:t>
      </w:r>
      <w:r>
        <w:rPr>
          <w:rFonts w:hint="default"/>
          <w:lang w:val="en-US" w:eastAsia="zh-CN"/>
        </w:rPr>
        <w:t>20</w:t>
      </w:r>
      <w:r>
        <w:rPr>
          <w:rFonts w:hint="eastAsia"/>
          <w:lang w:val="en-US" w:eastAsia="zh-CN"/>
        </w:rPr>
        <w:t>～</w:t>
      </w:r>
      <w:r>
        <w:rPr>
          <w:rFonts w:hint="default"/>
          <w:lang w:val="en-US" w:eastAsia="zh-CN"/>
        </w:rPr>
        <w:t>22</w:t>
      </w:r>
      <w:r>
        <w:rPr>
          <w:rFonts w:hint="eastAsia"/>
          <w:lang w:val="en-US" w:eastAsia="zh-CN"/>
        </w:rPr>
        <w:t>厘米或</w:t>
      </w:r>
      <w:r>
        <w:rPr>
          <w:rFonts w:hint="default"/>
          <w:lang w:val="en-US" w:eastAsia="zh-CN"/>
        </w:rPr>
        <w:t>25</w:t>
      </w:r>
      <w:r>
        <w:rPr>
          <w:rFonts w:hint="eastAsia"/>
          <w:lang w:val="en-US" w:eastAsia="zh-CN"/>
        </w:rPr>
        <w:t>厘米左右，常有增产效果；深耕结合施用有机肥，效果更为显著。</w:t>
      </w:r>
    </w:p>
    <w:p>
      <w:pPr>
        <w:bidi w:val="0"/>
        <w:rPr>
          <w:rFonts w:hint="default"/>
          <w:lang w:val="en-US"/>
        </w:rPr>
      </w:pPr>
      <w:r>
        <w:rPr>
          <w:rFonts w:hint="default"/>
        </w:rPr>
        <w:t>③</w:t>
      </w:r>
      <w:r>
        <w:rPr>
          <w:rFonts w:hint="eastAsia"/>
          <w:lang w:val="en-US" w:eastAsia="zh-CN"/>
        </w:rPr>
        <w:t>设置网围栏和标识牌。</w:t>
      </w:r>
      <w:r>
        <w:rPr>
          <w:lang w:val="en-US" w:eastAsia="zh-CN"/>
        </w:rPr>
        <w:t>为保证</w:t>
      </w:r>
      <w:r>
        <w:rPr>
          <w:rFonts w:hint="eastAsia"/>
          <w:lang w:val="en-US" w:eastAsia="zh-CN"/>
        </w:rPr>
        <w:t>城乡建设用地增减挂钩复垦后期管护工作，确保复垦项目工程的正常推进和长效作用，由于项目区靠近村庄，为防止人、畜误入，对项目区内耕地破坏，需要设置网围栏</w:t>
      </w:r>
      <w:r>
        <w:rPr>
          <w:rFonts w:hint="default"/>
          <w:lang w:val="en-US" w:eastAsia="zh-CN"/>
        </w:rPr>
        <w:t>20636.98m</w:t>
      </w:r>
      <w:r>
        <w:rPr>
          <w:rFonts w:hint="eastAsia"/>
          <w:lang w:val="en-US" w:eastAsia="zh-CN"/>
        </w:rPr>
        <w:t>，本次设计网围栏采用封禁围栏，网围栏立柱采用混凝土预制桩，立柱相距</w:t>
      </w:r>
      <w:r>
        <w:rPr>
          <w:rFonts w:hint="default"/>
          <w:lang w:val="en-US" w:eastAsia="zh-CN"/>
        </w:rPr>
        <w:t>5m</w:t>
      </w:r>
      <w:r>
        <w:rPr>
          <w:rFonts w:hint="eastAsia"/>
          <w:lang w:val="en-US" w:eastAsia="zh-CN"/>
        </w:rPr>
        <w:t>，围栏网材质采用高强度铁丝围栏，用铁丝对围栏及立柱绑定。</w:t>
      </w:r>
      <w:r>
        <w:rPr>
          <w:lang w:val="en-US" w:eastAsia="zh-CN"/>
        </w:rPr>
        <w:t>工程单价参考矿山定额确定，工程量</w:t>
      </w:r>
      <w:r>
        <w:rPr>
          <w:rFonts w:hint="eastAsia"/>
          <w:lang w:val="en-US" w:eastAsia="zh-CN"/>
        </w:rPr>
        <w:t>计量包括购买、运输、安装。项目区为偏远地方，根据实际情况，在项目单独设立标识牌，采用市场价（包括购买、运输、安装）确定，根据项目区情况，设定3座标识牌。</w:t>
      </w:r>
    </w:p>
    <w:p>
      <w:pPr>
        <w:bidi w:val="0"/>
        <w:ind w:firstLine="560" w:firstLineChars="200"/>
        <w:rPr>
          <w:rFonts w:hint="eastAsia" w:eastAsia="仿宋"/>
          <w:color w:val="auto"/>
          <w:highlight w:val="none"/>
          <w:lang w:eastAsia="zh-CN"/>
        </w:rPr>
      </w:pPr>
      <w:r>
        <w:rPr>
          <w:rFonts w:hint="default"/>
          <w:color w:val="auto"/>
          <w:highlight w:val="none"/>
        </w:rPr>
        <w:t>④复垦耕地等别。依据《</w:t>
      </w:r>
      <w:r>
        <w:rPr>
          <w:rFonts w:hint="eastAsia"/>
          <w:color w:val="auto"/>
          <w:highlight w:val="none"/>
          <w:lang w:val="en-US" w:eastAsia="zh-CN"/>
        </w:rPr>
        <w:t>和林格尔县</w:t>
      </w:r>
      <w:r>
        <w:rPr>
          <w:rFonts w:hint="default"/>
          <w:color w:val="auto"/>
          <w:highlight w:val="none"/>
        </w:rPr>
        <w:t>201</w:t>
      </w:r>
      <w:r>
        <w:rPr>
          <w:rFonts w:hint="default"/>
          <w:color w:val="auto"/>
          <w:highlight w:val="none"/>
          <w:lang w:val="en-US" w:eastAsia="zh-CN"/>
        </w:rPr>
        <w:t>9</w:t>
      </w:r>
      <w:r>
        <w:rPr>
          <w:rFonts w:hint="default"/>
          <w:color w:val="auto"/>
          <w:highlight w:val="none"/>
        </w:rPr>
        <w:t>年度耕地质量等别更新与监测评价成果》，</w:t>
      </w:r>
      <w:r>
        <w:rPr>
          <w:rFonts w:hint="eastAsia"/>
        </w:rPr>
        <w:t>编制耕地质量等别方案</w:t>
      </w:r>
      <w:r>
        <w:rPr>
          <w:rFonts w:hint="eastAsia"/>
          <w:lang w:eastAsia="zh-CN"/>
        </w:rPr>
        <w:t>。</w:t>
      </w:r>
    </w:p>
    <w:p>
      <w:pPr>
        <w:bidi w:val="0"/>
        <w:ind w:firstLine="560" w:firstLineChars="200"/>
        <w:rPr>
          <w:rFonts w:hint="eastAsia" w:eastAsia="仿宋"/>
          <w:color w:val="auto"/>
          <w:highlight w:val="none"/>
          <w:lang w:eastAsia="zh-CN"/>
        </w:rPr>
      </w:pPr>
      <w:r>
        <w:rPr>
          <w:rFonts w:hint="default"/>
          <w:color w:val="auto"/>
          <w:highlight w:val="none"/>
          <w:lang w:val="en-US" w:eastAsia="zh-CN"/>
        </w:rPr>
        <w:t>项目区实施后，</w:t>
      </w:r>
      <w:r>
        <w:rPr>
          <w:rFonts w:hint="default"/>
          <w:color w:val="auto"/>
          <w:highlight w:val="none"/>
        </w:rPr>
        <w:t>村民进行承包经营，带动农牧民经济收入，提高农牧民生活水平</w:t>
      </w:r>
      <w:r>
        <w:rPr>
          <w:rFonts w:hint="eastAsia"/>
          <w:color w:val="auto"/>
          <w:highlight w:val="none"/>
          <w:lang w:eastAsia="zh-CN"/>
        </w:rPr>
        <w:t>，</w:t>
      </w:r>
      <w:r>
        <w:rPr>
          <w:rFonts w:hint="default"/>
          <w:color w:val="auto"/>
          <w:highlight w:val="none"/>
        </w:rPr>
        <w:t>实现乡村振兴战略</w:t>
      </w:r>
      <w:r>
        <w:rPr>
          <w:rFonts w:hint="eastAsia"/>
          <w:color w:val="auto"/>
          <w:highlight w:val="none"/>
          <w:lang w:eastAsia="zh-CN"/>
        </w:rPr>
        <w:t>。</w:t>
      </w:r>
    </w:p>
    <w:p>
      <w:pPr>
        <w:keepNext/>
        <w:keepLines w:val="0"/>
        <w:pageBreakBefore w:val="0"/>
        <w:widowControl w:val="0"/>
        <w:kinsoku/>
        <w:wordWrap/>
        <w:overflowPunct/>
        <w:topLinePunct w:val="0"/>
        <w:autoSpaceDE/>
        <w:autoSpaceDN/>
        <w:bidi w:val="0"/>
        <w:adjustRightInd/>
        <w:snapToGrid/>
        <w:textAlignment w:val="auto"/>
        <w:rPr>
          <w:rFonts w:hint="default"/>
          <w:b/>
          <w:bCs/>
          <w:color w:val="auto"/>
          <w:highlight w:val="none"/>
        </w:rPr>
      </w:pPr>
      <w:bookmarkStart w:id="136" w:name="_Toc23843"/>
      <w:r>
        <w:rPr>
          <w:rFonts w:hint="default"/>
          <w:b/>
          <w:bCs/>
          <w:color w:val="auto"/>
          <w:highlight w:val="none"/>
          <w:lang w:val="en-US" w:eastAsia="zh-CN"/>
        </w:rPr>
        <w:t>3、</w:t>
      </w:r>
      <w:r>
        <w:rPr>
          <w:rFonts w:hint="default"/>
          <w:b/>
          <w:bCs/>
          <w:color w:val="auto"/>
          <w:highlight w:val="none"/>
        </w:rPr>
        <w:t>复垦农用地后期管护以及乡村风貌</w:t>
      </w:r>
      <w:bookmarkEnd w:id="136"/>
    </w:p>
    <w:p>
      <w:pPr>
        <w:keepNext w:val="0"/>
        <w:keepLines w:val="0"/>
        <w:pageBreakBefore w:val="0"/>
        <w:widowControl/>
        <w:kinsoku/>
        <w:wordWrap/>
        <w:overflowPunct/>
        <w:topLinePunct w:val="0"/>
        <w:autoSpaceDE/>
        <w:autoSpaceDN/>
        <w:bidi w:val="0"/>
        <w:adjustRightInd/>
        <w:snapToGrid/>
        <w:ind w:firstLine="560" w:firstLineChars="200"/>
        <w:textAlignment w:val="auto"/>
        <w:rPr>
          <w:rFonts w:hint="default"/>
          <w:color w:val="auto"/>
          <w:highlight w:val="none"/>
        </w:rPr>
      </w:pPr>
      <w:r>
        <w:rPr>
          <w:rFonts w:hint="default"/>
          <w:color w:val="auto"/>
          <w:highlight w:val="none"/>
        </w:rPr>
        <w:t>项目实施完成后，新增</w:t>
      </w:r>
      <w:r>
        <w:rPr>
          <w:rFonts w:hint="default"/>
          <w:color w:val="auto"/>
          <w:highlight w:val="none"/>
          <w:lang w:eastAsia="zh-CN"/>
        </w:rPr>
        <w:t>农用地</w:t>
      </w:r>
      <w:r>
        <w:rPr>
          <w:rFonts w:hint="default"/>
          <w:color w:val="auto"/>
          <w:highlight w:val="none"/>
        </w:rPr>
        <w:t>归原村集体经济组织统一管理使用。</w:t>
      </w:r>
    </w:p>
    <w:p>
      <w:pPr>
        <w:bidi w:val="0"/>
        <w:ind w:firstLine="560" w:firstLineChars="200"/>
        <w:rPr>
          <w:rFonts w:hint="default"/>
          <w:color w:val="auto"/>
          <w:highlight w:val="none"/>
        </w:rPr>
      </w:pPr>
      <w:r>
        <w:rPr>
          <w:rFonts w:hint="default"/>
          <w:color w:val="auto"/>
          <w:highlight w:val="none"/>
        </w:rPr>
        <w:t>为确保复垦后</w:t>
      </w:r>
      <w:r>
        <w:rPr>
          <w:rFonts w:hint="default"/>
          <w:color w:val="auto"/>
          <w:highlight w:val="none"/>
          <w:lang w:eastAsia="zh-CN"/>
        </w:rPr>
        <w:t>农用地</w:t>
      </w:r>
      <w:r>
        <w:rPr>
          <w:rFonts w:hint="default"/>
          <w:color w:val="auto"/>
          <w:highlight w:val="none"/>
        </w:rPr>
        <w:t>质量不降低，数量不减少，</w:t>
      </w:r>
      <w:r>
        <w:rPr>
          <w:rFonts w:hint="default"/>
          <w:color w:val="auto"/>
          <w:highlight w:val="none"/>
          <w:lang w:eastAsia="zh-CN"/>
        </w:rPr>
        <w:t>按照谁受益、谁管护的原则，项目区由所在村集体进行后期管护</w:t>
      </w:r>
      <w:r>
        <w:rPr>
          <w:rFonts w:hint="default"/>
          <w:color w:val="auto"/>
          <w:highlight w:val="none"/>
        </w:rPr>
        <w:t>。一是确保不抛荒，不变更土地用途；二是强化宣传力度，对群众加强宣传，增强群众管护自觉性；三是检查与监督，确保项目长期性。</w:t>
      </w:r>
    </w:p>
    <w:p>
      <w:pPr>
        <w:bidi w:val="0"/>
        <w:ind w:firstLine="560" w:firstLineChars="200"/>
        <w:rPr>
          <w:rFonts w:hint="default"/>
          <w:color w:val="auto"/>
          <w:highlight w:val="none"/>
        </w:rPr>
      </w:pPr>
      <w:r>
        <w:rPr>
          <w:rFonts w:hint="default"/>
          <w:color w:val="auto"/>
          <w:highlight w:val="none"/>
        </w:rPr>
        <w:t>通过</w:t>
      </w:r>
      <w:r>
        <w:rPr>
          <w:rFonts w:hint="default"/>
          <w:color w:val="auto"/>
          <w:highlight w:val="none"/>
          <w:lang w:eastAsia="zh-CN"/>
        </w:rPr>
        <w:t>复垦整理</w:t>
      </w:r>
      <w:r>
        <w:rPr>
          <w:rFonts w:hint="default"/>
          <w:color w:val="auto"/>
          <w:highlight w:val="none"/>
        </w:rPr>
        <w:t>，统一配套设施，使得拆旧地块与周围环境保持一致，同时完善了生产生活设施，改善村容村貌。</w:t>
      </w:r>
    </w:p>
    <w:p>
      <w:pPr>
        <w:bidi w:val="0"/>
        <w:rPr>
          <w:rFonts w:hint="default"/>
          <w:b/>
          <w:bCs/>
          <w:color w:val="auto"/>
          <w:highlight w:val="none"/>
          <w:lang w:val="en-US" w:eastAsia="zh-CN"/>
        </w:rPr>
      </w:pPr>
      <w:bookmarkStart w:id="137" w:name="_Toc28414"/>
      <w:r>
        <w:rPr>
          <w:rFonts w:hint="default"/>
          <w:b/>
          <w:bCs/>
          <w:color w:val="auto"/>
          <w:highlight w:val="none"/>
          <w:lang w:val="en-US" w:eastAsia="zh-CN"/>
        </w:rPr>
        <w:t>4、人文景观和生态环境保护措施</w:t>
      </w:r>
      <w:bookmarkEnd w:id="137"/>
    </w:p>
    <w:p>
      <w:pPr>
        <w:bidi w:val="0"/>
        <w:ind w:firstLine="560" w:firstLineChars="200"/>
        <w:rPr>
          <w:rFonts w:hint="default"/>
          <w:color w:val="auto"/>
          <w:highlight w:val="none"/>
          <w:lang w:val="zh-CN"/>
        </w:rPr>
      </w:pPr>
      <w:r>
        <w:rPr>
          <w:rFonts w:hint="default"/>
          <w:color w:val="auto"/>
          <w:highlight w:val="none"/>
        </w:rPr>
        <w:t>通过对拆旧地块的复垦，涉及</w:t>
      </w:r>
      <w:r>
        <w:rPr>
          <w:rFonts w:hint="default"/>
          <w:color w:val="auto"/>
          <w:highlight w:val="none"/>
          <w:lang w:eastAsia="zh-CN"/>
        </w:rPr>
        <w:t>复垦草地</w:t>
      </w:r>
      <w:r>
        <w:rPr>
          <w:rFonts w:hint="default"/>
          <w:color w:val="auto"/>
          <w:highlight w:val="none"/>
        </w:rPr>
        <w:t>的规划。</w:t>
      </w:r>
      <w:r>
        <w:rPr>
          <w:rFonts w:hint="default"/>
          <w:color w:val="auto"/>
          <w:highlight w:val="none"/>
          <w:lang w:eastAsia="zh-CN"/>
        </w:rPr>
        <w:t>草</w:t>
      </w:r>
      <w:r>
        <w:rPr>
          <w:rFonts w:hint="default"/>
          <w:color w:val="auto"/>
          <w:highlight w:val="none"/>
        </w:rPr>
        <w:t>种选择</w:t>
      </w:r>
      <w:r>
        <w:rPr>
          <w:rFonts w:hint="default"/>
          <w:color w:val="auto"/>
          <w:highlight w:val="none"/>
          <w:lang w:eastAsia="zh-CN"/>
        </w:rPr>
        <w:t>为本地草籽</w:t>
      </w:r>
      <w:r>
        <w:rPr>
          <w:rFonts w:hint="default"/>
          <w:color w:val="auto"/>
          <w:highlight w:val="none"/>
        </w:rPr>
        <w:t>，恢复植被为主，</w:t>
      </w:r>
      <w:r>
        <w:rPr>
          <w:rFonts w:hint="default"/>
          <w:color w:val="auto"/>
          <w:highlight w:val="none"/>
          <w:lang w:eastAsia="zh-CN"/>
        </w:rPr>
        <w:t>项目区</w:t>
      </w:r>
      <w:r>
        <w:rPr>
          <w:rFonts w:hint="default"/>
          <w:color w:val="auto"/>
          <w:highlight w:val="none"/>
        </w:rPr>
        <w:t>要与水土保持工程相统一。项目施工结束后，当地村集体要加强对</w:t>
      </w:r>
      <w:r>
        <w:rPr>
          <w:rFonts w:hint="default"/>
          <w:color w:val="auto"/>
          <w:highlight w:val="none"/>
          <w:lang w:eastAsia="zh-CN"/>
        </w:rPr>
        <w:t>草地</w:t>
      </w:r>
      <w:r>
        <w:rPr>
          <w:rFonts w:hint="default"/>
          <w:color w:val="auto"/>
          <w:highlight w:val="none"/>
        </w:rPr>
        <w:t>的看管，要防止</w:t>
      </w:r>
      <w:r>
        <w:rPr>
          <w:rFonts w:hint="default"/>
          <w:color w:val="auto"/>
          <w:highlight w:val="none"/>
          <w:lang w:eastAsia="zh-CN"/>
        </w:rPr>
        <w:t>牲畜啃食</w:t>
      </w:r>
      <w:r>
        <w:rPr>
          <w:rFonts w:hint="default"/>
          <w:color w:val="auto"/>
          <w:highlight w:val="none"/>
        </w:rPr>
        <w:t>，对于</w:t>
      </w:r>
      <w:r>
        <w:rPr>
          <w:rFonts w:hint="default"/>
          <w:color w:val="auto"/>
          <w:highlight w:val="none"/>
          <w:lang w:eastAsia="zh-CN"/>
        </w:rPr>
        <w:t>成活率不高的区域</w:t>
      </w:r>
      <w:r>
        <w:rPr>
          <w:rFonts w:hint="default"/>
          <w:color w:val="auto"/>
          <w:highlight w:val="none"/>
        </w:rPr>
        <w:t>要及时补</w:t>
      </w:r>
      <w:r>
        <w:rPr>
          <w:rFonts w:hint="default"/>
          <w:color w:val="auto"/>
          <w:highlight w:val="none"/>
          <w:lang w:eastAsia="zh-CN"/>
        </w:rPr>
        <w:t>种</w:t>
      </w:r>
      <w:r>
        <w:rPr>
          <w:rFonts w:hint="default"/>
          <w:color w:val="auto"/>
          <w:highlight w:val="none"/>
        </w:rPr>
        <w:t>。通过拆旧区的土地复垦，大大改善生态环境。</w:t>
      </w:r>
    </w:p>
    <w:p>
      <w:pPr>
        <w:pStyle w:val="3"/>
        <w:bidi w:val="0"/>
        <w:rPr>
          <w:color w:val="auto"/>
          <w:highlight w:val="none"/>
        </w:rPr>
      </w:pPr>
      <w:bookmarkStart w:id="138" w:name="_Toc7500"/>
      <w:bookmarkStart w:id="139" w:name="_Toc8546"/>
      <w:bookmarkStart w:id="140" w:name="_Toc32447"/>
      <w:r>
        <w:rPr>
          <w:color w:val="auto"/>
          <w:highlight w:val="none"/>
        </w:rPr>
        <w:t>4.2建新安置方案</w:t>
      </w:r>
      <w:bookmarkEnd w:id="138"/>
      <w:bookmarkEnd w:id="139"/>
      <w:bookmarkEnd w:id="140"/>
    </w:p>
    <w:p>
      <w:pPr>
        <w:pStyle w:val="6"/>
        <w:spacing w:before="120" w:after="120" w:line="360" w:lineRule="auto"/>
        <w:rPr>
          <w:rFonts w:hint="default" w:ascii="Times New Roman" w:hAnsi="Times New Roman" w:eastAsia="仿宋" w:cs="Times New Roman"/>
          <w:b/>
          <w:bCs/>
          <w:color w:val="000000"/>
          <w:highlight w:val="none"/>
          <w:lang w:val="en-US" w:eastAsia="zh-CN"/>
        </w:rPr>
      </w:pPr>
      <w:r>
        <w:rPr>
          <w:rFonts w:hint="default" w:ascii="Times New Roman" w:hAnsi="Times New Roman" w:eastAsia="仿宋" w:cs="Times New Roman"/>
          <w:b/>
          <w:bCs/>
          <w:color w:val="000000"/>
          <w:highlight w:val="none"/>
          <w:lang w:val="en-US" w:eastAsia="zh-CN"/>
        </w:rPr>
        <w:t>4.2.1建新区方案</w:t>
      </w:r>
    </w:p>
    <w:p>
      <w:pPr>
        <w:pStyle w:val="11"/>
        <w:rPr>
          <w:rFonts w:hint="default"/>
          <w:highlight w:val="none"/>
          <w:lang w:eastAsia="zh-CN"/>
        </w:rPr>
      </w:pPr>
      <w:r>
        <w:rPr>
          <w:rFonts w:hint="eastAsia"/>
          <w:highlight w:val="none"/>
          <w:lang w:val="en-US" w:eastAsia="zh-CN"/>
        </w:rPr>
        <w:t>呼和浩特市和林格尔县2025年城乡建设用地增减挂钩巧什营镇</w:t>
      </w:r>
      <w:r>
        <w:rPr>
          <w:rFonts w:hint="default"/>
          <w:highlight w:val="none"/>
          <w:lang w:eastAsia="zh-CN"/>
        </w:rPr>
        <w:t>项目区共涉及</w:t>
      </w:r>
      <w:r>
        <w:rPr>
          <w:rFonts w:hint="eastAsia"/>
          <w:highlight w:val="none"/>
          <w:lang w:val="en-US" w:eastAsia="zh-CN"/>
        </w:rPr>
        <w:t>1</w:t>
      </w:r>
      <w:r>
        <w:rPr>
          <w:rFonts w:hint="default"/>
          <w:highlight w:val="none"/>
          <w:lang w:val="en-US" w:eastAsia="zh-CN"/>
        </w:rPr>
        <w:t>个乡镇，</w:t>
      </w:r>
      <w:r>
        <w:rPr>
          <w:rFonts w:hint="eastAsia"/>
          <w:highlight w:val="none"/>
          <w:lang w:val="en-US" w:eastAsia="zh-CN"/>
        </w:rPr>
        <w:t>3</w:t>
      </w:r>
      <w:r>
        <w:rPr>
          <w:rFonts w:hint="default"/>
          <w:highlight w:val="none"/>
          <w:lang w:val="en-US" w:eastAsia="zh-CN"/>
        </w:rPr>
        <w:t>个行政村</w:t>
      </w:r>
      <w:r>
        <w:rPr>
          <w:rFonts w:hint="default" w:ascii="Times New Roman" w:hAnsi="Times New Roman" w:eastAsia="仿宋" w:cs="Times New Roman"/>
          <w:color w:val="auto"/>
          <w:sz w:val="28"/>
          <w:szCs w:val="28"/>
          <w:highlight w:val="none"/>
          <w:lang w:val="en-US" w:eastAsia="zh-CN"/>
        </w:rPr>
        <w:t>，</w:t>
      </w:r>
      <w:r>
        <w:rPr>
          <w:rFonts w:hint="eastAsia" w:ascii="Times New Roman" w:hAnsi="Times New Roman" w:cs="Times New Roman"/>
          <w:color w:val="auto"/>
          <w:sz w:val="28"/>
          <w:szCs w:val="28"/>
          <w:highlight w:val="none"/>
          <w:lang w:val="en-US" w:eastAsia="zh-CN"/>
        </w:rPr>
        <w:t>本</w:t>
      </w:r>
      <w:r>
        <w:rPr>
          <w:rFonts w:hint="default" w:ascii="Times New Roman" w:hAnsi="Times New Roman" w:eastAsia="仿宋" w:cs="Times New Roman"/>
          <w:color w:val="auto"/>
          <w:sz w:val="28"/>
          <w:szCs w:val="28"/>
          <w:highlight w:val="none"/>
          <w:lang w:val="en-US" w:eastAsia="zh-CN"/>
        </w:rPr>
        <w:t>项目区</w:t>
      </w:r>
      <w:r>
        <w:rPr>
          <w:rFonts w:hint="default" w:ascii="Times New Roman" w:hAnsi="Times New Roman" w:eastAsia="仿宋" w:cs="Times New Roman"/>
          <w:color w:val="auto"/>
          <w:sz w:val="28"/>
          <w:szCs w:val="28"/>
          <w:highlight w:val="none"/>
          <w:lang w:eastAsia="zh-CN"/>
        </w:rPr>
        <w:t>不设立建新区。</w:t>
      </w:r>
    </w:p>
    <w:p>
      <w:pPr>
        <w:pStyle w:val="6"/>
        <w:spacing w:before="120" w:after="120" w:line="360" w:lineRule="auto"/>
        <w:rPr>
          <w:rFonts w:hint="default" w:ascii="Times New Roman" w:hAnsi="Times New Roman" w:eastAsia="仿宋" w:cs="Times New Roman"/>
          <w:b/>
          <w:bCs/>
          <w:color w:val="000000"/>
          <w:highlight w:val="none"/>
          <w:lang w:val="en-US" w:eastAsia="zh-CN"/>
        </w:rPr>
      </w:pPr>
      <w:r>
        <w:rPr>
          <w:rFonts w:hint="default" w:ascii="Times New Roman" w:hAnsi="Times New Roman" w:eastAsia="仿宋" w:cs="Times New Roman"/>
          <w:b/>
          <w:bCs/>
          <w:color w:val="000000"/>
          <w:highlight w:val="none"/>
          <w:lang w:val="en-US" w:eastAsia="zh-CN"/>
        </w:rPr>
        <w:t>4.2.2建新安置方案</w:t>
      </w:r>
    </w:p>
    <w:p>
      <w:pPr>
        <w:ind w:firstLine="560" w:firstLineChars="200"/>
        <w:rPr>
          <w:rFonts w:hint="default" w:ascii="Times New Roman" w:hAnsi="Times New Roman" w:eastAsia="仿宋" w:cs="Times New Roman"/>
          <w:color w:val="000000"/>
          <w:sz w:val="28"/>
          <w:szCs w:val="28"/>
          <w:highlight w:val="none"/>
          <w:lang w:val="en-US" w:eastAsia="zh-CN"/>
        </w:rPr>
      </w:pPr>
      <w:r>
        <w:rPr>
          <w:rFonts w:hint="eastAsia" w:ascii="Times New Roman" w:hAnsi="Times New Roman" w:cs="Times New Roman"/>
          <w:color w:val="auto"/>
          <w:sz w:val="28"/>
          <w:szCs w:val="28"/>
          <w:highlight w:val="none"/>
          <w:lang w:val="en-US" w:eastAsia="zh-CN"/>
        </w:rPr>
        <w:t>本</w:t>
      </w:r>
      <w:r>
        <w:rPr>
          <w:rFonts w:hint="default" w:ascii="Times New Roman" w:hAnsi="Times New Roman" w:eastAsia="仿宋" w:cs="Times New Roman"/>
          <w:color w:val="auto"/>
          <w:sz w:val="28"/>
          <w:szCs w:val="28"/>
          <w:highlight w:val="none"/>
          <w:lang w:val="en-US" w:eastAsia="zh-CN"/>
        </w:rPr>
        <w:t>项目区</w:t>
      </w:r>
      <w:r>
        <w:rPr>
          <w:rFonts w:hint="default" w:ascii="Times New Roman" w:hAnsi="Times New Roman" w:eastAsia="仿宋" w:cs="Times New Roman"/>
          <w:color w:val="auto"/>
          <w:sz w:val="28"/>
          <w:szCs w:val="28"/>
          <w:highlight w:val="none"/>
          <w:lang w:eastAsia="zh-CN"/>
        </w:rPr>
        <w:t>不设立建新区</w:t>
      </w:r>
    </w:p>
    <w:p>
      <w:pPr>
        <w:keepNext w:val="0"/>
        <w:keepLines w:val="0"/>
        <w:pageBreakBefore w:val="0"/>
        <w:widowControl/>
        <w:suppressLineNumbers w:val="0"/>
        <w:kinsoku/>
        <w:wordWrap/>
        <w:overflowPunct/>
        <w:topLinePunct w:val="0"/>
        <w:autoSpaceDE/>
        <w:autoSpaceDN/>
        <w:bidi w:val="0"/>
        <w:adjustRightInd/>
        <w:snapToGrid/>
        <w:ind w:left="0" w:leftChars="0" w:firstLine="562" w:firstLineChars="200"/>
        <w:jc w:val="left"/>
        <w:textAlignment w:val="auto"/>
        <w:rPr>
          <w:rFonts w:hint="eastAsia" w:ascii="Times New Roman" w:hAnsi="Times New Roman" w:cs="Times New Roman"/>
          <w:color w:val="000000"/>
          <w:sz w:val="28"/>
          <w:szCs w:val="28"/>
          <w:highlight w:val="none"/>
          <w:lang w:val="en-US" w:eastAsia="zh-CN"/>
        </w:rPr>
      </w:pPr>
      <w:r>
        <w:rPr>
          <w:rFonts w:hint="eastAsia" w:ascii="Times New Roman" w:hAnsi="Times New Roman" w:cs="Times New Roman"/>
          <w:b/>
          <w:bCs/>
          <w:color w:val="000000"/>
          <w:sz w:val="28"/>
          <w:szCs w:val="28"/>
          <w:highlight w:val="none"/>
          <w:lang w:val="en-US" w:eastAsia="zh-CN"/>
        </w:rPr>
        <w:t>4.2.2.1安置方式</w:t>
      </w:r>
      <w:r>
        <w:rPr>
          <w:rFonts w:hint="eastAsia" w:ascii="Times New Roman" w:hAnsi="Times New Roman" w:cs="Times New Roman"/>
          <w:color w:val="000000"/>
          <w:sz w:val="28"/>
          <w:szCs w:val="28"/>
          <w:highlight w:val="none"/>
          <w:lang w:val="en-US" w:eastAsia="zh-CN"/>
        </w:rPr>
        <w:t>：</w:t>
      </w:r>
    </w:p>
    <w:p>
      <w:pPr>
        <w:ind w:firstLine="560" w:firstLineChars="200"/>
        <w:rPr>
          <w:rFonts w:hint="eastAsia"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val="en-US" w:eastAsia="zh-CN"/>
        </w:rPr>
        <w:t>1、</w:t>
      </w:r>
      <w:r>
        <w:rPr>
          <w:rFonts w:hint="eastAsia" w:ascii="Times New Roman" w:hAnsi="Times New Roman" w:eastAsia="仿宋" w:cs="Times New Roman"/>
          <w:color w:val="auto"/>
          <w:sz w:val="28"/>
          <w:szCs w:val="28"/>
          <w:highlight w:val="none"/>
          <w:lang w:eastAsia="zh-CN"/>
        </w:rPr>
        <w:t>货币安置</w:t>
      </w:r>
    </w:p>
    <w:p>
      <w:pPr>
        <w:ind w:firstLine="560" w:firstLineChars="200"/>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宅基地面积小于等于400㎡时，宅基地实有建筑容积率在0.4以内(含0.4)的房屋建筑面积按照2000元/㎡给予补偿，建筑容积率在0.4以内的未建面积按照1800元/㎡给予补偿；</w:t>
      </w:r>
    </w:p>
    <w:p>
      <w:pPr>
        <w:ind w:firstLine="560" w:firstLineChars="200"/>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宅基地实有建筑容积率大于0.4的，容积率0.4以内的面积按照2000/㎡给予补偿，剩余的房屋建筑面积按照200元/㎡给予补偿。</w:t>
      </w:r>
    </w:p>
    <w:p>
      <w:pPr>
        <w:ind w:firstLine="560" w:firstLineChars="200"/>
        <w:rPr>
          <w:rFonts w:hint="eastAsia" w:ascii="Times New Roman" w:hAnsi="Times New Roman" w:cs="Times New Roman"/>
          <w:color w:val="000000"/>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宅基地面积大于400㎡时，宅基地面积400㎡以内按照本条补偿，宅基地超出400㎡的部分和剩余的建筑面积按照本方案第二章补偿。</w:t>
      </w:r>
    </w:p>
    <w:p>
      <w:pPr>
        <w:ind w:firstLine="560" w:firstLineChars="200"/>
        <w:rPr>
          <w:rFonts w:hint="eastAsia" w:ascii="Times New Roman" w:hAnsi="Times New Roman" w:eastAsia="仿宋" w:cs="Times New Roman"/>
          <w:color w:val="000000"/>
          <w:sz w:val="28"/>
          <w:szCs w:val="28"/>
          <w:highlight w:val="none"/>
          <w:lang w:val="en-US" w:eastAsia="zh-CN"/>
        </w:rPr>
      </w:pPr>
      <w:r>
        <w:rPr>
          <w:rFonts w:hint="eastAsia" w:ascii="Times New Roman" w:hAnsi="Times New Roman" w:eastAsia="仿宋" w:cs="Times New Roman"/>
          <w:color w:val="000000"/>
          <w:sz w:val="28"/>
          <w:szCs w:val="28"/>
          <w:highlight w:val="none"/>
          <w:lang w:val="en-US" w:eastAsia="zh-CN"/>
        </w:rPr>
        <w:t>2、房屋产权置换</w:t>
      </w:r>
    </w:p>
    <w:p>
      <w:pPr>
        <w:ind w:firstLine="560" w:firstLineChars="200"/>
        <w:rPr>
          <w:rFonts w:hint="eastAsia" w:ascii="Times New Roman" w:hAnsi="Times New Roman" w:eastAsia="仿宋" w:cs="Times New Roman"/>
          <w:color w:val="000000"/>
          <w:sz w:val="28"/>
          <w:szCs w:val="28"/>
          <w:highlight w:val="none"/>
          <w:lang w:val="en-US" w:eastAsia="zh-CN"/>
        </w:rPr>
      </w:pPr>
      <w:r>
        <w:rPr>
          <w:rFonts w:hint="eastAsia" w:ascii="Times New Roman" w:hAnsi="Times New Roman" w:eastAsia="仿宋" w:cs="Times New Roman"/>
          <w:color w:val="000000"/>
          <w:sz w:val="28"/>
          <w:szCs w:val="28"/>
          <w:highlight w:val="none"/>
          <w:lang w:val="en-US" w:eastAsia="zh-CN"/>
        </w:rPr>
        <w:t>宅基地面积小于等于400㎡时，建筑容积率在0.4以内(含0.4),实有建筑面积“搬一还一”,建筑容积率0.4以内的未建面积1㎡调换0.9㎡商品房。</w:t>
      </w:r>
    </w:p>
    <w:p>
      <w:pPr>
        <w:ind w:firstLine="560" w:firstLineChars="200"/>
        <w:rPr>
          <w:rFonts w:hint="eastAsia" w:ascii="Times New Roman" w:hAnsi="Times New Roman" w:eastAsia="仿宋" w:cs="Times New Roman"/>
          <w:color w:val="000000"/>
          <w:sz w:val="28"/>
          <w:szCs w:val="28"/>
          <w:highlight w:val="none"/>
          <w:lang w:val="en-US" w:eastAsia="zh-CN"/>
        </w:rPr>
      </w:pPr>
      <w:r>
        <w:rPr>
          <w:rFonts w:hint="eastAsia" w:ascii="Times New Roman" w:hAnsi="Times New Roman" w:eastAsia="仿宋" w:cs="Times New Roman"/>
          <w:color w:val="000000"/>
          <w:sz w:val="28"/>
          <w:szCs w:val="28"/>
          <w:highlight w:val="none"/>
          <w:lang w:val="en-US" w:eastAsia="zh-CN"/>
        </w:rPr>
        <w:t>建筑容积率大于0.4时，建筑容积率在0.4以内的建筑面积“搬一还一”,剩余的房屋建筑面积按200元/㎡给予补偿。</w:t>
      </w:r>
    </w:p>
    <w:p>
      <w:pPr>
        <w:ind w:firstLine="560" w:firstLineChars="200"/>
        <w:rPr>
          <w:rFonts w:hint="eastAsia" w:ascii="Times New Roman" w:hAnsi="Times New Roman" w:eastAsia="仿宋" w:cs="Times New Roman"/>
          <w:color w:val="000000"/>
          <w:sz w:val="28"/>
          <w:szCs w:val="28"/>
          <w:highlight w:val="none"/>
          <w:lang w:val="en-US" w:eastAsia="zh-CN"/>
        </w:rPr>
      </w:pPr>
      <w:r>
        <w:rPr>
          <w:rFonts w:hint="eastAsia" w:ascii="Times New Roman" w:hAnsi="Times New Roman" w:eastAsia="仿宋" w:cs="Times New Roman"/>
          <w:color w:val="000000"/>
          <w:sz w:val="28"/>
          <w:szCs w:val="28"/>
          <w:highlight w:val="none"/>
          <w:lang w:val="en-US" w:eastAsia="zh-CN"/>
        </w:rPr>
        <w:t>宅基地面积大于400㎡,按照宅基地400㎡、容积率0.4确定的面积进行产权调换。宅基地大于400㎡的部分和剩余的房屋建筑面积按照本方案第二章进行补偿。</w:t>
      </w:r>
    </w:p>
    <w:p>
      <w:pPr>
        <w:ind w:firstLine="560" w:firstLineChars="200"/>
        <w:rPr>
          <w:rFonts w:hint="eastAsia" w:ascii="Times New Roman" w:hAnsi="Times New Roman" w:eastAsia="仿宋" w:cs="Times New Roman"/>
          <w:color w:val="000000"/>
          <w:sz w:val="28"/>
          <w:szCs w:val="28"/>
          <w:highlight w:val="none"/>
          <w:lang w:val="en-US" w:eastAsia="zh-CN"/>
        </w:rPr>
      </w:pPr>
      <w:r>
        <w:rPr>
          <w:rFonts w:hint="eastAsia" w:ascii="Times New Roman" w:hAnsi="Times New Roman" w:eastAsia="仿宋" w:cs="Times New Roman"/>
          <w:color w:val="000000"/>
          <w:sz w:val="28"/>
          <w:szCs w:val="28"/>
          <w:highlight w:val="none"/>
          <w:lang w:val="en-US" w:eastAsia="zh-CN"/>
        </w:rPr>
        <w:t>产权调换面积以一楼为标准，可回迁其他任何楼层，并对照楼层调节差价结算楼层差价。</w:t>
      </w:r>
    </w:p>
    <w:p>
      <w:pPr>
        <w:ind w:firstLine="560" w:firstLineChars="200"/>
        <w:rPr>
          <w:rFonts w:hint="eastAsia" w:ascii="Times New Roman" w:hAnsi="Times New Roman" w:eastAsia="仿宋" w:cs="Times New Roman"/>
          <w:color w:val="000000"/>
          <w:sz w:val="28"/>
          <w:szCs w:val="28"/>
          <w:highlight w:val="none"/>
          <w:lang w:val="en-US" w:eastAsia="zh-CN"/>
        </w:rPr>
      </w:pPr>
      <w:r>
        <w:rPr>
          <w:rFonts w:hint="eastAsia" w:ascii="Times New Roman" w:hAnsi="Times New Roman" w:eastAsia="仿宋" w:cs="Times New Roman"/>
          <w:color w:val="000000"/>
          <w:sz w:val="28"/>
          <w:szCs w:val="28"/>
          <w:highlight w:val="none"/>
          <w:lang w:val="en-US" w:eastAsia="zh-CN"/>
        </w:rPr>
        <w:t>如回迁面积小于调换面积时，不足部分按照2000元/㎡给予补偿。</w:t>
      </w:r>
    </w:p>
    <w:p>
      <w:pPr>
        <w:ind w:firstLine="560" w:firstLineChars="200"/>
        <w:rPr>
          <w:rFonts w:hint="eastAsia" w:ascii="Times New Roman" w:hAnsi="Times New Roman" w:eastAsia="仿宋" w:cs="Times New Roman"/>
          <w:color w:val="000000"/>
          <w:sz w:val="28"/>
          <w:szCs w:val="28"/>
          <w:highlight w:val="none"/>
          <w:lang w:val="en-US" w:eastAsia="zh-CN"/>
        </w:rPr>
      </w:pPr>
      <w:r>
        <w:rPr>
          <w:rFonts w:hint="eastAsia" w:ascii="Times New Roman" w:hAnsi="Times New Roman" w:eastAsia="仿宋" w:cs="Times New Roman"/>
          <w:color w:val="000000"/>
          <w:sz w:val="28"/>
          <w:szCs w:val="28"/>
          <w:highlight w:val="none"/>
          <w:lang w:val="en-US" w:eastAsia="zh-CN"/>
        </w:rPr>
        <w:t>如回迁面积超出调换面积在10㎡以内(含10㎡)的，按2000元/㎡收取(不含楼层差价),超出10㎡以外的面积按房屋市场实际销售价格收取。</w:t>
      </w:r>
    </w:p>
    <w:p>
      <w:pPr>
        <w:ind w:firstLine="560" w:firstLineChars="200"/>
        <w:rPr>
          <w:rFonts w:hint="default" w:ascii="Times New Roman" w:hAnsi="Times New Roman" w:eastAsia="仿宋" w:cs="Times New Roman"/>
          <w:color w:val="000000"/>
          <w:sz w:val="28"/>
          <w:szCs w:val="28"/>
          <w:highlight w:val="none"/>
          <w:lang w:val="en-US" w:eastAsia="zh-CN"/>
        </w:rPr>
      </w:pPr>
      <w:r>
        <w:rPr>
          <w:rFonts w:hint="eastAsia" w:ascii="Times New Roman" w:hAnsi="Times New Roman" w:eastAsia="仿宋" w:cs="Times New Roman"/>
          <w:color w:val="000000"/>
          <w:sz w:val="28"/>
          <w:szCs w:val="28"/>
          <w:highlight w:val="none"/>
          <w:lang w:val="en-US" w:eastAsia="zh-CN"/>
        </w:rPr>
        <w:t>回迁安置遵循搬迁公告规定期限内签订协议，并按照签订协议顺序号依次挑选产权调换房的原则。</w:t>
      </w:r>
    </w:p>
    <w:p>
      <w:pPr>
        <w:pStyle w:val="3"/>
        <w:bidi w:val="0"/>
        <w:rPr>
          <w:color w:val="auto"/>
          <w:highlight w:val="none"/>
        </w:rPr>
      </w:pPr>
      <w:bookmarkStart w:id="141" w:name="_Toc17880"/>
      <w:bookmarkStart w:id="142" w:name="_Toc31863"/>
      <w:bookmarkStart w:id="143" w:name="_Toc526"/>
      <w:r>
        <w:rPr>
          <w:color w:val="auto"/>
          <w:highlight w:val="none"/>
        </w:rPr>
        <w:t>4.3</w:t>
      </w:r>
      <w:r>
        <w:rPr>
          <w:rFonts w:hint="eastAsia"/>
          <w:color w:val="auto"/>
          <w:highlight w:val="none"/>
          <w:lang w:val="en-US" w:eastAsia="zh-CN"/>
        </w:rPr>
        <w:t xml:space="preserve"> </w:t>
      </w:r>
      <w:r>
        <w:rPr>
          <w:color w:val="auto"/>
          <w:highlight w:val="none"/>
        </w:rPr>
        <w:t>拆旧区复垦工程</w:t>
      </w:r>
      <w:bookmarkEnd w:id="141"/>
      <w:bookmarkEnd w:id="142"/>
      <w:bookmarkEnd w:id="143"/>
    </w:p>
    <w:p>
      <w:pPr>
        <w:pStyle w:val="5"/>
        <w:bidi w:val="0"/>
        <w:rPr>
          <w:rFonts w:hint="eastAsia"/>
          <w:color w:val="auto"/>
          <w:highlight w:val="none"/>
          <w:lang w:val="en-US" w:eastAsia="zh-CN"/>
        </w:rPr>
      </w:pPr>
      <w:r>
        <w:rPr>
          <w:color w:val="auto"/>
          <w:highlight w:val="none"/>
        </w:rPr>
        <w:t>4.</w:t>
      </w:r>
      <w:r>
        <w:rPr>
          <w:rFonts w:hint="eastAsia"/>
          <w:color w:val="auto"/>
          <w:highlight w:val="none"/>
          <w:lang w:val="en-US" w:eastAsia="zh-CN"/>
        </w:rPr>
        <w:t>3</w:t>
      </w:r>
      <w:r>
        <w:rPr>
          <w:color w:val="auto"/>
          <w:highlight w:val="none"/>
        </w:rPr>
        <w:t>.</w:t>
      </w:r>
      <w:r>
        <w:rPr>
          <w:rFonts w:hint="eastAsia"/>
          <w:color w:val="auto"/>
          <w:highlight w:val="none"/>
          <w:lang w:val="en-US" w:eastAsia="zh-CN"/>
        </w:rPr>
        <w:t>1 总体布局</w:t>
      </w:r>
    </w:p>
    <w:p>
      <w:pPr>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rPr>
      </w:pPr>
      <w:r>
        <w:rPr>
          <w:rFonts w:hint="eastAsia"/>
          <w:color w:val="auto"/>
          <w:highlight w:val="none"/>
          <w:lang w:val="en-US" w:eastAsia="zh-CN"/>
        </w:rPr>
        <w:t>在征求当地乡镇政府与地块权属人意见后，结合项目区水源条件和地形特点，因地制宜、合理规划布置工程。本次规划采用土地复垦区与周边耕地尽量集中连片的布局方式，规划复垦后耕地有利于与周边土地形成连片规模经营。</w:t>
      </w:r>
    </w:p>
    <w:p>
      <w:pPr>
        <w:pStyle w:val="5"/>
        <w:bidi w:val="0"/>
        <w:rPr>
          <w:rFonts w:hint="default"/>
          <w:color w:val="auto"/>
          <w:highlight w:val="none"/>
          <w:lang w:val="en-US" w:eastAsia="zh-CN"/>
        </w:rPr>
      </w:pPr>
      <w:r>
        <w:rPr>
          <w:rFonts w:hint="eastAsia"/>
          <w:color w:val="auto"/>
          <w:highlight w:val="none"/>
          <w:lang w:val="en-US" w:eastAsia="zh-CN"/>
        </w:rPr>
        <w:t>4.3.2 工程总体布局</w:t>
      </w:r>
    </w:p>
    <w:p>
      <w:pPr>
        <w:pStyle w:val="4"/>
        <w:spacing w:line="360" w:lineRule="auto"/>
        <w:ind w:firstLine="560"/>
        <w:rPr>
          <w:rFonts w:hint="default" w:ascii="仿宋" w:hAnsi="仿宋" w:cs="仿宋"/>
          <w:sz w:val="28"/>
          <w:szCs w:val="28"/>
          <w:lang w:val="en-US" w:eastAsia="zh-CN"/>
        </w:rPr>
      </w:pPr>
      <w:r>
        <w:rPr>
          <w:rFonts w:hint="eastAsia" w:ascii="仿宋" w:hAnsi="仿宋" w:eastAsia="仿宋" w:cs="仿宋"/>
          <w:sz w:val="28"/>
          <w:szCs w:val="28"/>
          <w:lang w:val="en-US" w:eastAsia="zh-CN"/>
        </w:rPr>
        <w:t>本方案拆旧复垦设计主要有废弃建筑物拆除工程、废弃建筑物外运工程、土地平整工程、土地翻耕工程、</w:t>
      </w:r>
      <w:r>
        <w:rPr>
          <w:rFonts w:hint="eastAsia" w:ascii="仿宋" w:hAnsi="仿宋" w:cs="仿宋"/>
          <w:sz w:val="28"/>
          <w:szCs w:val="28"/>
          <w:lang w:val="en-US" w:eastAsia="zh-CN"/>
        </w:rPr>
        <w:t>土壤培肥、植被恢复、其他工程</w:t>
      </w:r>
      <w:r>
        <w:rPr>
          <w:rFonts w:hint="eastAsia" w:ascii="仿宋" w:hAnsi="仿宋" w:eastAsia="仿宋" w:cs="仿宋"/>
          <w:sz w:val="28"/>
          <w:szCs w:val="28"/>
          <w:lang w:val="en-US" w:eastAsia="zh-CN"/>
        </w:rPr>
        <w:t>等工程措施，各工程措施估算工程量</w:t>
      </w:r>
      <w:r>
        <w:rPr>
          <w:rFonts w:hint="eastAsia" w:ascii="仿宋" w:hAnsi="仿宋" w:cs="仿宋"/>
          <w:sz w:val="28"/>
          <w:szCs w:val="28"/>
          <w:lang w:val="en-US" w:eastAsia="zh-CN"/>
        </w:rPr>
        <w:t>全部由和林机场办预算本报告不做阐述。</w:t>
      </w:r>
    </w:p>
    <w:p>
      <w:pPr>
        <w:pStyle w:val="90"/>
        <w:bidi w:val="0"/>
        <w:rPr>
          <w:rFonts w:hint="default" w:ascii="仿宋" w:hAnsi="仿宋" w:cs="仿宋"/>
          <w:szCs w:val="28"/>
          <w:highlight w:val="none"/>
          <w:lang w:val="en-US" w:eastAsia="zh-CN"/>
        </w:rPr>
      </w:pPr>
      <w:r>
        <w:rPr>
          <w:rFonts w:hint="eastAsia"/>
          <w:lang w:val="en-US" w:eastAsia="zh-CN"/>
        </w:rPr>
        <w:t>表4-5</w:t>
      </w:r>
      <w:r>
        <w:rPr>
          <w:rFonts w:hint="eastAsia"/>
          <w:highlight w:val="none"/>
          <w:lang w:val="en-US" w:eastAsia="zh-CN"/>
        </w:rPr>
        <w:t>项目区</w:t>
      </w:r>
      <w:r>
        <w:rPr>
          <w:highlight w:val="none"/>
        </w:rPr>
        <w:t>工程量</w:t>
      </w:r>
      <w:r>
        <w:rPr>
          <w:rFonts w:hint="eastAsia"/>
          <w:highlight w:val="none"/>
        </w:rPr>
        <w:t>估算</w:t>
      </w:r>
      <w:r>
        <w:rPr>
          <w:highlight w:val="none"/>
        </w:rPr>
        <w:t>表</w:t>
      </w:r>
    </w:p>
    <w:tbl>
      <w:tblPr>
        <w:tblStyle w:val="29"/>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9"/>
        <w:gridCol w:w="4345"/>
        <w:gridCol w:w="880"/>
        <w:gridCol w:w="22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blHeader/>
        </w:trPr>
        <w:tc>
          <w:tcPr>
            <w:tcW w:w="608"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b/>
                <w:bCs/>
              </w:rPr>
            </w:pPr>
            <w:bookmarkStart w:id="144" w:name="_Toc27855"/>
            <w:bookmarkStart w:id="145" w:name="_Toc21929"/>
            <w:bookmarkStart w:id="146" w:name="_Toc10848"/>
            <w:r>
              <w:rPr>
                <w:rFonts w:hint="eastAsia"/>
                <w:b/>
                <w:bCs/>
                <w:lang w:val="en-US" w:eastAsia="zh-CN"/>
              </w:rPr>
              <w:t>序号</w:t>
            </w:r>
          </w:p>
        </w:tc>
        <w:tc>
          <w:tcPr>
            <w:tcW w:w="255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单项名称</w:t>
            </w:r>
          </w:p>
        </w:tc>
        <w:tc>
          <w:tcPr>
            <w:tcW w:w="50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单位</w:t>
            </w:r>
          </w:p>
        </w:tc>
        <w:tc>
          <w:tcPr>
            <w:tcW w:w="13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估算工程量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608"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一</w:t>
            </w:r>
          </w:p>
        </w:tc>
        <w:tc>
          <w:tcPr>
            <w:tcW w:w="255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土地平整工程</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13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08"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1</w:t>
            </w:r>
          </w:p>
        </w:tc>
        <w:tc>
          <w:tcPr>
            <w:tcW w:w="255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废弃建筑物拆除工程</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m</w:t>
            </w:r>
            <w:r>
              <w:rPr>
                <w:rFonts w:hint="default"/>
                <w:vertAlign w:val="superscript"/>
                <w:lang w:val="en-US" w:eastAsia="zh-CN"/>
              </w:rPr>
              <w:t>3</w:t>
            </w:r>
          </w:p>
        </w:tc>
        <w:tc>
          <w:tcPr>
            <w:tcW w:w="13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43214.3962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08"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2</w:t>
            </w:r>
          </w:p>
        </w:tc>
        <w:tc>
          <w:tcPr>
            <w:tcW w:w="255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废弃建筑物外运工程</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m</w:t>
            </w:r>
            <w:r>
              <w:rPr>
                <w:rFonts w:hint="default"/>
                <w:vertAlign w:val="superscript"/>
                <w:lang w:val="en-US" w:eastAsia="zh-CN"/>
              </w:rPr>
              <w:t>3</w:t>
            </w:r>
          </w:p>
        </w:tc>
        <w:tc>
          <w:tcPr>
            <w:tcW w:w="13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43214.3962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08"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w:t>
            </w:r>
          </w:p>
        </w:tc>
        <w:tc>
          <w:tcPr>
            <w:tcW w:w="255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土地平整</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m</w:t>
            </w:r>
            <w:r>
              <w:rPr>
                <w:rFonts w:hint="default"/>
                <w:vertAlign w:val="superscript"/>
                <w:lang w:val="en-US" w:eastAsia="zh-CN"/>
              </w:rPr>
              <w:t>2</w:t>
            </w:r>
          </w:p>
        </w:tc>
        <w:tc>
          <w:tcPr>
            <w:tcW w:w="13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8"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4</w:t>
            </w:r>
          </w:p>
        </w:tc>
        <w:tc>
          <w:tcPr>
            <w:tcW w:w="255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土地翻耕（含平整）</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亩</w:t>
            </w:r>
          </w:p>
        </w:tc>
        <w:tc>
          <w:tcPr>
            <w:tcW w:w="13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459.69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08"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w:t>
            </w:r>
          </w:p>
        </w:tc>
        <w:tc>
          <w:tcPr>
            <w:tcW w:w="255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客土回填</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m</w:t>
            </w:r>
            <w:r>
              <w:rPr>
                <w:rFonts w:hint="default"/>
                <w:vertAlign w:val="superscript"/>
                <w:lang w:val="en-US" w:eastAsia="zh-CN"/>
              </w:rPr>
              <w:t>3</w:t>
            </w:r>
          </w:p>
        </w:tc>
        <w:tc>
          <w:tcPr>
            <w:tcW w:w="13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30769.845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08"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6</w:t>
            </w:r>
          </w:p>
        </w:tc>
        <w:tc>
          <w:tcPr>
            <w:tcW w:w="255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土壤培肥</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吨</w:t>
            </w:r>
          </w:p>
        </w:tc>
        <w:tc>
          <w:tcPr>
            <w:tcW w:w="13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225.179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608"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二</w:t>
            </w:r>
          </w:p>
        </w:tc>
        <w:tc>
          <w:tcPr>
            <w:tcW w:w="255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灌溉与排水工程</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13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608"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1</w:t>
            </w:r>
          </w:p>
        </w:tc>
        <w:tc>
          <w:tcPr>
            <w:tcW w:w="255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新建机电井（</w:t>
            </w:r>
            <w:r>
              <w:rPr>
                <w:rFonts w:hint="default"/>
                <w:lang w:val="en-US" w:eastAsia="zh-CN"/>
              </w:rPr>
              <w:t>90m</w:t>
            </w:r>
            <w:r>
              <w:rPr>
                <w:rFonts w:hint="eastAsia"/>
                <w:lang w:val="en-US" w:eastAsia="zh-CN"/>
              </w:rPr>
              <w:t>）</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眼</w:t>
            </w:r>
          </w:p>
        </w:tc>
        <w:tc>
          <w:tcPr>
            <w:tcW w:w="13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08"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2</w:t>
            </w:r>
          </w:p>
        </w:tc>
        <w:tc>
          <w:tcPr>
            <w:tcW w:w="255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钢制井房</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座</w:t>
            </w:r>
          </w:p>
        </w:tc>
        <w:tc>
          <w:tcPr>
            <w:tcW w:w="13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08"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3</w:t>
            </w:r>
          </w:p>
        </w:tc>
        <w:tc>
          <w:tcPr>
            <w:tcW w:w="255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地埋管道（干管、风干管）</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m</w:t>
            </w:r>
          </w:p>
        </w:tc>
        <w:tc>
          <w:tcPr>
            <w:tcW w:w="13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608"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4</w:t>
            </w:r>
          </w:p>
        </w:tc>
        <w:tc>
          <w:tcPr>
            <w:tcW w:w="255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低压线敷设</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m</w:t>
            </w:r>
          </w:p>
        </w:tc>
        <w:tc>
          <w:tcPr>
            <w:tcW w:w="13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608"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三</w:t>
            </w:r>
          </w:p>
        </w:tc>
        <w:tc>
          <w:tcPr>
            <w:tcW w:w="255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植被恢复工程</w:t>
            </w:r>
          </w:p>
        </w:tc>
        <w:tc>
          <w:tcPr>
            <w:tcW w:w="50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13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0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1</w:t>
            </w:r>
          </w:p>
        </w:tc>
        <w:tc>
          <w:tcPr>
            <w:tcW w:w="255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撒播草籽（披碱草与羊草</w:t>
            </w:r>
            <w:r>
              <w:rPr>
                <w:rFonts w:hint="default"/>
                <w:lang w:val="en-US" w:eastAsia="zh-CN"/>
              </w:rPr>
              <w:t>1:1</w:t>
            </w:r>
            <w:r>
              <w:rPr>
                <w:rFonts w:hint="eastAsia"/>
                <w:lang w:val="en-US" w:eastAsia="zh-CN"/>
              </w:rPr>
              <w:t>混合播种）</w:t>
            </w:r>
          </w:p>
        </w:tc>
        <w:tc>
          <w:tcPr>
            <w:tcW w:w="50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hm</w:t>
            </w:r>
            <w:r>
              <w:rPr>
                <w:rFonts w:hint="default"/>
                <w:vertAlign w:val="superscript"/>
                <w:lang w:val="en-US" w:eastAsia="zh-CN"/>
              </w:rPr>
              <w:t>2</w:t>
            </w:r>
          </w:p>
        </w:tc>
        <w:tc>
          <w:tcPr>
            <w:tcW w:w="13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0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2</w:t>
            </w:r>
          </w:p>
        </w:tc>
        <w:tc>
          <w:tcPr>
            <w:tcW w:w="255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造林（樟子松、柠条）</w:t>
            </w:r>
          </w:p>
        </w:tc>
        <w:tc>
          <w:tcPr>
            <w:tcW w:w="50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100</w:t>
            </w:r>
            <w:r>
              <w:rPr>
                <w:rFonts w:hint="eastAsia"/>
                <w:lang w:val="en-US" w:eastAsia="zh-CN"/>
              </w:rPr>
              <w:t>株</w:t>
            </w:r>
          </w:p>
        </w:tc>
        <w:tc>
          <w:tcPr>
            <w:tcW w:w="13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0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四</w:t>
            </w:r>
          </w:p>
        </w:tc>
        <w:tc>
          <w:tcPr>
            <w:tcW w:w="255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其他工程</w:t>
            </w:r>
          </w:p>
        </w:tc>
        <w:tc>
          <w:tcPr>
            <w:tcW w:w="50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p>
        </w:tc>
        <w:tc>
          <w:tcPr>
            <w:tcW w:w="13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0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1</w:t>
            </w:r>
          </w:p>
        </w:tc>
        <w:tc>
          <w:tcPr>
            <w:tcW w:w="255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网围栏</w:t>
            </w:r>
          </w:p>
        </w:tc>
        <w:tc>
          <w:tcPr>
            <w:tcW w:w="50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m</w:t>
            </w:r>
          </w:p>
        </w:tc>
        <w:tc>
          <w:tcPr>
            <w:tcW w:w="13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0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2</w:t>
            </w:r>
          </w:p>
        </w:tc>
        <w:tc>
          <w:tcPr>
            <w:tcW w:w="255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标识牌购置及安装</w:t>
            </w:r>
          </w:p>
        </w:tc>
        <w:tc>
          <w:tcPr>
            <w:tcW w:w="50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块</w:t>
            </w:r>
          </w:p>
        </w:tc>
        <w:tc>
          <w:tcPr>
            <w:tcW w:w="13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0</w:t>
            </w:r>
          </w:p>
        </w:tc>
      </w:tr>
    </w:tbl>
    <w:p>
      <w:pPr>
        <w:pStyle w:val="3"/>
        <w:bidi w:val="0"/>
        <w:rPr>
          <w:color w:val="auto"/>
          <w:highlight w:val="none"/>
        </w:rPr>
      </w:pPr>
      <w:r>
        <w:rPr>
          <w:color w:val="auto"/>
          <w:highlight w:val="none"/>
        </w:rPr>
        <w:t>4.4项目区拆旧复垦实施进度计划</w:t>
      </w:r>
      <w:bookmarkEnd w:id="144"/>
      <w:bookmarkEnd w:id="145"/>
      <w:bookmarkEnd w:id="146"/>
    </w:p>
    <w:p>
      <w:pPr>
        <w:pStyle w:val="5"/>
        <w:bidi w:val="0"/>
        <w:ind w:firstLine="562" w:firstLineChars="200"/>
        <w:rPr>
          <w:color w:val="auto"/>
          <w:highlight w:val="none"/>
        </w:rPr>
      </w:pPr>
      <w:r>
        <w:rPr>
          <w:color w:val="auto"/>
          <w:highlight w:val="none"/>
        </w:rPr>
        <w:t>1、项目区实施期限</w:t>
      </w:r>
    </w:p>
    <w:p>
      <w:pPr>
        <w:bidi w:val="0"/>
        <w:ind w:firstLine="560" w:firstLineChars="200"/>
        <w:rPr>
          <w:color w:val="auto"/>
          <w:highlight w:val="none"/>
        </w:rPr>
      </w:pPr>
      <w:r>
        <w:rPr>
          <w:color w:val="auto"/>
          <w:highlight w:val="none"/>
        </w:rPr>
        <w:t>本项目区规划实施期限为</w:t>
      </w:r>
      <w:r>
        <w:rPr>
          <w:rFonts w:hint="eastAsia"/>
          <w:color w:val="auto"/>
          <w:highlight w:val="none"/>
          <w:lang w:val="en-US" w:eastAsia="zh-CN"/>
        </w:rPr>
        <w:t>17</w:t>
      </w:r>
      <w:r>
        <w:rPr>
          <w:rFonts w:hint="eastAsia"/>
          <w:color w:val="auto"/>
          <w:highlight w:val="none"/>
        </w:rPr>
        <w:t>个月</w:t>
      </w:r>
      <w:r>
        <w:rPr>
          <w:color w:val="auto"/>
          <w:highlight w:val="none"/>
        </w:rPr>
        <w:t>，即从202</w:t>
      </w:r>
      <w:r>
        <w:rPr>
          <w:rFonts w:hint="eastAsia"/>
          <w:color w:val="auto"/>
          <w:highlight w:val="none"/>
          <w:lang w:val="en-US" w:eastAsia="zh-CN"/>
        </w:rPr>
        <w:t>5</w:t>
      </w:r>
      <w:r>
        <w:rPr>
          <w:color w:val="auto"/>
          <w:highlight w:val="none"/>
        </w:rPr>
        <w:t>年</w:t>
      </w:r>
      <w:r>
        <w:rPr>
          <w:rFonts w:hint="eastAsia"/>
          <w:color w:val="auto"/>
          <w:highlight w:val="none"/>
          <w:lang w:val="en-US" w:eastAsia="zh-CN"/>
        </w:rPr>
        <w:t>4</w:t>
      </w:r>
      <w:r>
        <w:rPr>
          <w:color w:val="auto"/>
          <w:highlight w:val="none"/>
        </w:rPr>
        <w:t>月</w:t>
      </w:r>
      <w:r>
        <w:rPr>
          <w:rFonts w:hint="eastAsia"/>
          <w:color w:val="auto"/>
          <w:highlight w:val="none"/>
          <w:lang w:val="en-US" w:eastAsia="zh-CN"/>
        </w:rPr>
        <w:t>初</w:t>
      </w:r>
      <w:r>
        <w:rPr>
          <w:color w:val="auto"/>
          <w:highlight w:val="none"/>
        </w:rPr>
        <w:t>开始至202</w:t>
      </w:r>
      <w:r>
        <w:rPr>
          <w:rFonts w:hint="eastAsia"/>
          <w:color w:val="auto"/>
          <w:highlight w:val="none"/>
          <w:lang w:val="en-US" w:eastAsia="zh-CN"/>
        </w:rPr>
        <w:t>6</w:t>
      </w:r>
      <w:r>
        <w:rPr>
          <w:color w:val="auto"/>
          <w:highlight w:val="none"/>
        </w:rPr>
        <w:t>年</w:t>
      </w:r>
      <w:r>
        <w:rPr>
          <w:rFonts w:hint="eastAsia"/>
          <w:color w:val="auto"/>
          <w:highlight w:val="none"/>
          <w:lang w:val="en-US" w:eastAsia="zh-CN"/>
        </w:rPr>
        <w:t>8</w:t>
      </w:r>
      <w:r>
        <w:rPr>
          <w:color w:val="auto"/>
          <w:highlight w:val="none"/>
        </w:rPr>
        <w:t>月</w:t>
      </w:r>
      <w:r>
        <w:rPr>
          <w:rFonts w:hint="eastAsia"/>
          <w:color w:val="auto"/>
          <w:highlight w:val="none"/>
          <w:lang w:val="en-US" w:eastAsia="zh-CN"/>
        </w:rPr>
        <w:t>底</w:t>
      </w:r>
      <w:r>
        <w:rPr>
          <w:color w:val="auto"/>
          <w:highlight w:val="none"/>
        </w:rPr>
        <w:t>结束。</w:t>
      </w:r>
    </w:p>
    <w:p>
      <w:pPr>
        <w:pStyle w:val="5"/>
        <w:bidi w:val="0"/>
        <w:ind w:firstLine="562" w:firstLineChars="200"/>
        <w:rPr>
          <w:color w:val="auto"/>
          <w:highlight w:val="none"/>
        </w:rPr>
      </w:pPr>
      <w:r>
        <w:rPr>
          <w:color w:val="auto"/>
          <w:highlight w:val="none"/>
        </w:rPr>
        <w:t>2、项目区实施进度</w:t>
      </w:r>
    </w:p>
    <w:p>
      <w:pPr>
        <w:bidi w:val="0"/>
        <w:ind w:firstLine="560" w:firstLineChars="200"/>
        <w:rPr>
          <w:color w:val="auto"/>
          <w:highlight w:val="none"/>
        </w:rPr>
      </w:pPr>
      <w:r>
        <w:rPr>
          <w:color w:val="auto"/>
          <w:highlight w:val="none"/>
        </w:rPr>
        <w:t>本项目区规划实施期限为</w:t>
      </w:r>
      <w:r>
        <w:rPr>
          <w:rFonts w:hint="eastAsia"/>
          <w:color w:val="auto"/>
          <w:highlight w:val="none"/>
          <w:lang w:val="en-US" w:eastAsia="zh-CN"/>
        </w:rPr>
        <w:t>17</w:t>
      </w:r>
      <w:r>
        <w:rPr>
          <w:color w:val="auto"/>
          <w:highlight w:val="none"/>
        </w:rPr>
        <w:t>个月，即202</w:t>
      </w:r>
      <w:r>
        <w:rPr>
          <w:rFonts w:hint="eastAsia"/>
          <w:color w:val="auto"/>
          <w:highlight w:val="none"/>
          <w:lang w:val="en-US" w:eastAsia="zh-CN"/>
        </w:rPr>
        <w:t>4</w:t>
      </w:r>
      <w:r>
        <w:rPr>
          <w:color w:val="auto"/>
          <w:highlight w:val="none"/>
        </w:rPr>
        <w:t>年</w:t>
      </w:r>
      <w:r>
        <w:rPr>
          <w:rFonts w:hint="eastAsia"/>
          <w:color w:val="auto"/>
          <w:highlight w:val="none"/>
          <w:lang w:val="en-US" w:eastAsia="zh-CN"/>
        </w:rPr>
        <w:t>4</w:t>
      </w:r>
      <w:r>
        <w:rPr>
          <w:color w:val="auto"/>
          <w:highlight w:val="none"/>
        </w:rPr>
        <w:t>月～202</w:t>
      </w:r>
      <w:r>
        <w:rPr>
          <w:rFonts w:hint="eastAsia"/>
          <w:color w:val="auto"/>
          <w:highlight w:val="none"/>
          <w:lang w:val="en-US" w:eastAsia="zh-CN"/>
        </w:rPr>
        <w:t>5</w:t>
      </w:r>
      <w:r>
        <w:rPr>
          <w:color w:val="auto"/>
          <w:highlight w:val="none"/>
        </w:rPr>
        <w:t>年</w:t>
      </w:r>
      <w:r>
        <w:rPr>
          <w:rFonts w:hint="eastAsia"/>
          <w:color w:val="auto"/>
          <w:highlight w:val="none"/>
          <w:lang w:val="en-US" w:eastAsia="zh-CN"/>
        </w:rPr>
        <w:t>8</w:t>
      </w:r>
      <w:r>
        <w:rPr>
          <w:color w:val="auto"/>
          <w:highlight w:val="none"/>
        </w:rPr>
        <w:t>月，从项目区立项即开展项目区规划实施，</w:t>
      </w:r>
      <w:r>
        <w:rPr>
          <w:rFonts w:hint="eastAsia"/>
          <w:color w:val="auto"/>
          <w:highlight w:val="none"/>
          <w:lang w:val="en-US" w:eastAsia="zh-CN"/>
        </w:rPr>
        <w:t>17</w:t>
      </w:r>
      <w:r>
        <w:rPr>
          <w:color w:val="auto"/>
          <w:highlight w:val="none"/>
        </w:rPr>
        <w:t>个月内完成相应拆旧复垦工作。项目区分阶段进行实施，依从易到难、资金筹措到位力度、逐步实施的原则，具体安排如下：</w:t>
      </w:r>
    </w:p>
    <w:p>
      <w:pPr>
        <w:bidi w:val="0"/>
        <w:ind w:firstLine="560" w:firstLineChars="200"/>
        <w:rPr>
          <w:color w:val="auto"/>
          <w:highlight w:val="none"/>
        </w:rPr>
      </w:pPr>
      <w:r>
        <w:rPr>
          <w:color w:val="auto"/>
          <w:highlight w:val="none"/>
        </w:rPr>
        <w:t>202</w:t>
      </w:r>
      <w:r>
        <w:rPr>
          <w:rFonts w:hint="eastAsia"/>
          <w:color w:val="auto"/>
          <w:highlight w:val="none"/>
          <w:lang w:val="en-US" w:eastAsia="zh-CN"/>
        </w:rPr>
        <w:t>5</w:t>
      </w:r>
      <w:r>
        <w:rPr>
          <w:color w:val="auto"/>
          <w:highlight w:val="none"/>
        </w:rPr>
        <w:t>年</w:t>
      </w:r>
      <w:r>
        <w:rPr>
          <w:rFonts w:hint="eastAsia"/>
          <w:color w:val="auto"/>
          <w:highlight w:val="none"/>
          <w:lang w:val="en-US" w:eastAsia="zh-CN"/>
        </w:rPr>
        <w:t>4</w:t>
      </w:r>
      <w:r>
        <w:rPr>
          <w:rFonts w:hint="eastAsia"/>
          <w:color w:val="auto"/>
          <w:highlight w:val="none"/>
        </w:rPr>
        <w:t>月-</w:t>
      </w:r>
      <w:r>
        <w:rPr>
          <w:rFonts w:hint="eastAsia"/>
          <w:color w:val="auto"/>
          <w:highlight w:val="none"/>
          <w:lang w:val="en-US" w:eastAsia="zh-CN"/>
        </w:rPr>
        <w:t>5</w:t>
      </w:r>
      <w:r>
        <w:rPr>
          <w:color w:val="auto"/>
          <w:highlight w:val="none"/>
        </w:rPr>
        <w:t>月，</w:t>
      </w:r>
      <w:r>
        <w:rPr>
          <w:rFonts w:hint="default" w:ascii="Times New Roman" w:hAnsi="Times New Roman" w:eastAsia="仿宋" w:cs="Times New Roman"/>
          <w:color w:val="000000"/>
          <w:sz w:val="28"/>
          <w:szCs w:val="28"/>
          <w:highlight w:val="none"/>
        </w:rPr>
        <w:t>由政府会同</w:t>
      </w:r>
      <w:r>
        <w:rPr>
          <w:rFonts w:hint="eastAsia" w:ascii="Times New Roman" w:hAnsi="Times New Roman" w:cs="Times New Roman"/>
          <w:color w:val="000000"/>
          <w:sz w:val="28"/>
          <w:szCs w:val="28"/>
          <w:highlight w:val="none"/>
          <w:lang w:val="en-US" w:eastAsia="zh-CN"/>
        </w:rPr>
        <w:t>自然资源局及相关部门</w:t>
      </w:r>
      <w:r>
        <w:rPr>
          <w:rFonts w:hint="default" w:ascii="Times New Roman" w:hAnsi="Times New Roman" w:eastAsia="仿宋" w:cs="Times New Roman"/>
          <w:color w:val="000000"/>
          <w:sz w:val="28"/>
          <w:szCs w:val="28"/>
          <w:highlight w:val="none"/>
        </w:rPr>
        <w:t>，对项目区进行实地调查摸底，并委托相关技术单位完成项目区地形图的测绘、</w:t>
      </w:r>
      <w:r>
        <w:rPr>
          <w:rFonts w:hint="default" w:ascii="Times New Roman" w:hAnsi="Times New Roman" w:eastAsia="仿宋" w:cs="Times New Roman"/>
          <w:color w:val="000000"/>
          <w:sz w:val="28"/>
          <w:szCs w:val="28"/>
          <w:highlight w:val="none"/>
          <w:lang w:eastAsia="zh-CN"/>
        </w:rPr>
        <w:t>城乡建设用地增减挂项目区</w:t>
      </w:r>
      <w:r>
        <w:rPr>
          <w:rFonts w:hint="default" w:ascii="Times New Roman" w:hAnsi="Times New Roman" w:eastAsia="仿宋" w:cs="Times New Roman"/>
          <w:color w:val="000000"/>
          <w:sz w:val="28"/>
          <w:szCs w:val="28"/>
          <w:highlight w:val="none"/>
        </w:rPr>
        <w:t>实施方案</w:t>
      </w:r>
      <w:r>
        <w:rPr>
          <w:rFonts w:hint="eastAsia" w:ascii="Times New Roman" w:hAnsi="Times New Roman" w:cs="Times New Roman"/>
          <w:color w:val="000000"/>
          <w:sz w:val="28"/>
          <w:szCs w:val="28"/>
          <w:highlight w:val="none"/>
          <w:lang w:val="en-US" w:eastAsia="zh-CN"/>
        </w:rPr>
        <w:t>和土地</w:t>
      </w:r>
      <w:r>
        <w:rPr>
          <w:rFonts w:hint="default" w:ascii="Times New Roman" w:hAnsi="Times New Roman" w:eastAsia="仿宋" w:cs="Times New Roman"/>
          <w:color w:val="000000"/>
          <w:sz w:val="28"/>
          <w:szCs w:val="28"/>
          <w:highlight w:val="none"/>
        </w:rPr>
        <w:t>整理复垦方案</w:t>
      </w:r>
      <w:r>
        <w:rPr>
          <w:color w:val="auto"/>
          <w:highlight w:val="none"/>
        </w:rPr>
        <w:t>并报批；</w:t>
      </w:r>
    </w:p>
    <w:p>
      <w:pPr>
        <w:pStyle w:val="8"/>
        <w:ind w:left="0" w:leftChars="0" w:firstLine="560" w:firstLineChars="200"/>
        <w:jc w:val="left"/>
        <w:rPr>
          <w:rFonts w:hint="default" w:ascii="Times New Roman" w:hAnsi="Times New Roman" w:eastAsia="仿宋" w:cs="Times New Roman"/>
          <w:color w:val="000000"/>
          <w:kern w:val="2"/>
          <w:sz w:val="28"/>
          <w:szCs w:val="28"/>
          <w:highlight w:val="none"/>
          <w:lang w:val="en-US" w:eastAsia="zh-CN" w:bidi="ar-SA"/>
        </w:rPr>
      </w:pPr>
      <w:r>
        <w:rPr>
          <w:rFonts w:hint="default" w:ascii="Times New Roman" w:hAnsi="Times New Roman" w:eastAsia="仿宋" w:cs="Times New Roman"/>
          <w:color w:val="000000"/>
          <w:kern w:val="2"/>
          <w:sz w:val="28"/>
          <w:szCs w:val="28"/>
          <w:highlight w:val="none"/>
          <w:lang w:val="en-US" w:eastAsia="zh-CN" w:bidi="ar-SA"/>
        </w:rPr>
        <w:t>202</w:t>
      </w:r>
      <w:r>
        <w:rPr>
          <w:rFonts w:hint="eastAsia" w:ascii="Times New Roman" w:hAnsi="Times New Roman" w:eastAsia="仿宋" w:cs="Times New Roman"/>
          <w:color w:val="000000"/>
          <w:kern w:val="2"/>
          <w:sz w:val="28"/>
          <w:szCs w:val="28"/>
          <w:highlight w:val="none"/>
          <w:lang w:val="en-US" w:eastAsia="zh-CN" w:bidi="ar-SA"/>
        </w:rPr>
        <w:t>5</w:t>
      </w:r>
      <w:r>
        <w:rPr>
          <w:rFonts w:hint="default" w:ascii="Times New Roman" w:hAnsi="Times New Roman" w:eastAsia="仿宋" w:cs="Times New Roman"/>
          <w:color w:val="000000"/>
          <w:kern w:val="2"/>
          <w:sz w:val="28"/>
          <w:szCs w:val="28"/>
          <w:highlight w:val="none"/>
          <w:lang w:val="en-US" w:eastAsia="zh-CN" w:bidi="ar-SA"/>
        </w:rPr>
        <w:t>年</w:t>
      </w:r>
      <w:r>
        <w:rPr>
          <w:rFonts w:hint="eastAsia" w:ascii="Times New Roman" w:hAnsi="Times New Roman" w:eastAsia="仿宋" w:cs="Times New Roman"/>
          <w:color w:val="000000"/>
          <w:kern w:val="2"/>
          <w:sz w:val="28"/>
          <w:szCs w:val="28"/>
          <w:highlight w:val="none"/>
          <w:lang w:val="en-US" w:eastAsia="zh-CN" w:bidi="ar-SA"/>
        </w:rPr>
        <w:t>6月-7</w:t>
      </w:r>
      <w:r>
        <w:rPr>
          <w:rFonts w:hint="default" w:ascii="Times New Roman" w:hAnsi="Times New Roman" w:eastAsia="仿宋" w:cs="Times New Roman"/>
          <w:color w:val="000000"/>
          <w:kern w:val="2"/>
          <w:sz w:val="28"/>
          <w:szCs w:val="28"/>
          <w:highlight w:val="none"/>
          <w:lang w:val="en-US" w:eastAsia="zh-CN" w:bidi="ar-SA"/>
        </w:rPr>
        <w:t>月</w:t>
      </w:r>
      <w:r>
        <w:rPr>
          <w:rFonts w:hint="eastAsia" w:ascii="Times New Roman" w:hAnsi="Times New Roman" w:eastAsia="仿宋" w:cs="Times New Roman"/>
          <w:color w:val="000000"/>
          <w:kern w:val="2"/>
          <w:sz w:val="28"/>
          <w:szCs w:val="28"/>
          <w:highlight w:val="none"/>
          <w:lang w:val="en-US" w:eastAsia="zh-CN" w:bidi="ar-SA"/>
        </w:rPr>
        <w:t>，编制实施方案并报批。</w:t>
      </w:r>
    </w:p>
    <w:p>
      <w:pPr>
        <w:widowControl/>
        <w:bidi w:val="0"/>
        <w:ind w:firstLine="560" w:firstLineChars="200"/>
        <w:jc w:val="left"/>
        <w:rPr>
          <w:rFonts w:eastAsia="仿宋_GB2312"/>
          <w:color w:val="auto"/>
          <w:szCs w:val="28"/>
          <w:highlight w:val="none"/>
        </w:rPr>
      </w:pPr>
      <w:r>
        <w:rPr>
          <w:color w:val="auto"/>
          <w:highlight w:val="none"/>
        </w:rPr>
        <w:t>202</w:t>
      </w:r>
      <w:r>
        <w:rPr>
          <w:rFonts w:hint="eastAsia"/>
          <w:color w:val="auto"/>
          <w:highlight w:val="none"/>
          <w:lang w:val="en-US" w:eastAsia="zh-CN"/>
        </w:rPr>
        <w:t>5</w:t>
      </w:r>
      <w:r>
        <w:rPr>
          <w:color w:val="auto"/>
          <w:highlight w:val="none"/>
        </w:rPr>
        <w:t>年</w:t>
      </w:r>
      <w:r>
        <w:rPr>
          <w:rFonts w:hint="eastAsia"/>
          <w:color w:val="auto"/>
          <w:highlight w:val="none"/>
          <w:lang w:val="en-US" w:eastAsia="zh-CN"/>
        </w:rPr>
        <w:t>8</w:t>
      </w:r>
      <w:r>
        <w:rPr>
          <w:color w:val="auto"/>
          <w:highlight w:val="none"/>
        </w:rPr>
        <w:t>月-202</w:t>
      </w:r>
      <w:r>
        <w:rPr>
          <w:rFonts w:hint="eastAsia"/>
          <w:color w:val="auto"/>
          <w:highlight w:val="none"/>
          <w:lang w:val="en-US" w:eastAsia="zh-CN"/>
        </w:rPr>
        <w:t>6</w:t>
      </w:r>
      <w:r>
        <w:rPr>
          <w:color w:val="auto"/>
          <w:highlight w:val="none"/>
        </w:rPr>
        <w:t>年</w:t>
      </w:r>
      <w:r>
        <w:rPr>
          <w:rFonts w:hint="eastAsia"/>
          <w:color w:val="auto"/>
          <w:highlight w:val="none"/>
          <w:lang w:val="en-US" w:eastAsia="zh-CN"/>
        </w:rPr>
        <w:t>5</w:t>
      </w:r>
      <w:r>
        <w:rPr>
          <w:color w:val="auto"/>
          <w:highlight w:val="none"/>
        </w:rPr>
        <w:t>月，</w:t>
      </w:r>
      <w:r>
        <w:rPr>
          <w:rFonts w:ascii="仿宋" w:hAnsi="仿宋" w:eastAsia="仿宋" w:cs="仿宋"/>
          <w:color w:val="000000"/>
          <w:kern w:val="0"/>
          <w:sz w:val="28"/>
          <w:szCs w:val="28"/>
          <w:highlight w:val="none"/>
          <w:lang w:val="en-US" w:eastAsia="zh-CN" w:bidi="ar"/>
        </w:rPr>
        <w:t>实施方案及复垦设计方案评审通过后，进行施工</w:t>
      </w:r>
      <w:r>
        <w:rPr>
          <w:rFonts w:hint="eastAsia" w:ascii="仿宋" w:hAnsi="仿宋" w:eastAsia="仿宋" w:cs="仿宋"/>
          <w:color w:val="000000"/>
          <w:kern w:val="0"/>
          <w:sz w:val="28"/>
          <w:szCs w:val="28"/>
          <w:highlight w:val="none"/>
          <w:lang w:val="en-US" w:eastAsia="zh-CN" w:bidi="ar"/>
        </w:rPr>
        <w:t>招投标程序</w:t>
      </w:r>
      <w:r>
        <w:rPr>
          <w:rFonts w:hint="eastAsia" w:ascii="仿宋" w:hAnsi="仿宋" w:cs="仿宋"/>
          <w:color w:val="000000"/>
          <w:kern w:val="0"/>
          <w:sz w:val="28"/>
          <w:szCs w:val="28"/>
          <w:highlight w:val="none"/>
          <w:lang w:val="en-US" w:eastAsia="zh-CN" w:bidi="ar"/>
        </w:rPr>
        <w:t>，</w:t>
      </w:r>
      <w:r>
        <w:rPr>
          <w:color w:val="auto"/>
          <w:highlight w:val="none"/>
        </w:rPr>
        <w:t>中标施工单位对项目区进行复垦</w:t>
      </w:r>
      <w:r>
        <w:rPr>
          <w:rFonts w:hint="eastAsia"/>
          <w:color w:val="auto"/>
          <w:highlight w:val="none"/>
          <w:lang w:eastAsia="zh-CN"/>
        </w:rPr>
        <w:t>，</w:t>
      </w:r>
      <w:r>
        <w:rPr>
          <w:rFonts w:hint="default" w:ascii="Times New Roman" w:hAnsi="Times New Roman" w:eastAsia="仿宋" w:cs="Times New Roman"/>
          <w:color w:val="000000"/>
          <w:sz w:val="28"/>
          <w:szCs w:val="28"/>
          <w:highlight w:val="none"/>
        </w:rPr>
        <w:t>达到拟复垦地类的复垦标准，逐步恢复土地的生长能力，</w:t>
      </w:r>
      <w:r>
        <w:rPr>
          <w:rFonts w:hint="default" w:ascii="Times New Roman" w:hAnsi="Times New Roman" w:eastAsia="仿宋" w:cs="Times New Roman"/>
          <w:color w:val="000000"/>
          <w:sz w:val="28"/>
          <w:szCs w:val="28"/>
          <w:highlight w:val="none"/>
          <w:lang w:eastAsia="zh-CN"/>
        </w:rPr>
        <w:t>待拆旧区复垦植被及耕地完成种植后，达到验收标准</w:t>
      </w:r>
      <w:r>
        <w:rPr>
          <w:color w:val="auto"/>
          <w:highlight w:val="none"/>
        </w:rPr>
        <w:t>；</w:t>
      </w:r>
    </w:p>
    <w:p>
      <w:pPr>
        <w:bidi w:val="0"/>
        <w:ind w:firstLine="560" w:firstLineChars="200"/>
        <w:rPr>
          <w:color w:val="auto"/>
          <w:highlight w:val="none"/>
        </w:rPr>
      </w:pPr>
      <w:r>
        <w:rPr>
          <w:color w:val="auto"/>
          <w:highlight w:val="none"/>
        </w:rPr>
        <w:t>202</w:t>
      </w:r>
      <w:r>
        <w:rPr>
          <w:rFonts w:hint="eastAsia"/>
          <w:color w:val="auto"/>
          <w:highlight w:val="none"/>
          <w:lang w:val="en-US" w:eastAsia="zh-CN"/>
        </w:rPr>
        <w:t>6</w:t>
      </w:r>
      <w:r>
        <w:rPr>
          <w:color w:val="auto"/>
          <w:highlight w:val="none"/>
        </w:rPr>
        <w:t>年</w:t>
      </w:r>
      <w:r>
        <w:rPr>
          <w:rFonts w:hint="eastAsia"/>
          <w:color w:val="auto"/>
          <w:highlight w:val="none"/>
          <w:lang w:val="en-US" w:eastAsia="zh-CN"/>
        </w:rPr>
        <w:t>6</w:t>
      </w:r>
      <w:r>
        <w:rPr>
          <w:color w:val="auto"/>
          <w:highlight w:val="none"/>
        </w:rPr>
        <w:t>月</w:t>
      </w:r>
      <w:r>
        <w:rPr>
          <w:rFonts w:hint="eastAsia"/>
          <w:color w:val="auto"/>
          <w:highlight w:val="none"/>
          <w:lang w:val="en-US" w:eastAsia="zh-CN"/>
        </w:rPr>
        <w:t>-7月</w:t>
      </w:r>
      <w:r>
        <w:rPr>
          <w:color w:val="auto"/>
          <w:highlight w:val="none"/>
        </w:rPr>
        <w:t>，由</w:t>
      </w:r>
      <w:r>
        <w:rPr>
          <w:rFonts w:hint="eastAsia"/>
          <w:color w:val="auto"/>
          <w:highlight w:val="none"/>
          <w:lang w:val="en-US" w:eastAsia="zh-CN"/>
        </w:rPr>
        <w:t>县</w:t>
      </w:r>
      <w:r>
        <w:rPr>
          <w:color w:val="auto"/>
          <w:highlight w:val="none"/>
        </w:rPr>
        <w:t>人民政府组织自然资源局、财政局、农牧业局</w:t>
      </w:r>
      <w:r>
        <w:rPr>
          <w:rFonts w:hint="eastAsia"/>
          <w:color w:val="auto"/>
          <w:highlight w:val="none"/>
          <w:lang w:eastAsia="zh-CN"/>
        </w:rPr>
        <w:t>、</w:t>
      </w:r>
      <w:r>
        <w:rPr>
          <w:rFonts w:hint="eastAsia"/>
          <w:color w:val="auto"/>
          <w:highlight w:val="none"/>
          <w:lang w:val="en-US" w:eastAsia="zh-CN"/>
        </w:rPr>
        <w:t>林草局</w:t>
      </w:r>
      <w:r>
        <w:rPr>
          <w:color w:val="auto"/>
          <w:highlight w:val="none"/>
        </w:rPr>
        <w:t>等部门相关人员对项目区</w:t>
      </w:r>
      <w:r>
        <w:rPr>
          <w:rFonts w:hint="eastAsia"/>
          <w:color w:val="auto"/>
          <w:highlight w:val="none"/>
        </w:rPr>
        <w:t>复垦</w:t>
      </w:r>
      <w:r>
        <w:rPr>
          <w:color w:val="auto"/>
          <w:highlight w:val="none"/>
        </w:rPr>
        <w:t>进行初步验收，并申请市自然资源局组织验收，自治区自然资源厅进行复核。整理项目区资料，文件归档</w:t>
      </w:r>
      <w:r>
        <w:rPr>
          <w:rFonts w:hint="eastAsia"/>
          <w:color w:val="auto"/>
          <w:highlight w:val="none"/>
          <w:lang w:eastAsia="zh-CN"/>
        </w:rPr>
        <w:t>，</w:t>
      </w:r>
      <w:r>
        <w:rPr>
          <w:rFonts w:hint="eastAsia" w:ascii="Times New Roman" w:hAnsi="Times New Roman" w:cs="Times New Roman"/>
          <w:color w:val="000000"/>
          <w:sz w:val="28"/>
          <w:szCs w:val="28"/>
          <w:highlight w:val="none"/>
          <w:lang w:val="en-US" w:eastAsia="zh-CN"/>
        </w:rPr>
        <w:t>2025年8月</w:t>
      </w:r>
      <w:r>
        <w:rPr>
          <w:rFonts w:hint="default" w:ascii="Times New Roman" w:hAnsi="Times New Roman" w:eastAsia="仿宋" w:cs="Times New Roman"/>
          <w:color w:val="000000"/>
          <w:sz w:val="28"/>
          <w:szCs w:val="28"/>
          <w:highlight w:val="none"/>
          <w:lang w:val="en-US" w:eastAsia="zh-CN"/>
        </w:rPr>
        <w:t>底前</w:t>
      </w:r>
      <w:r>
        <w:rPr>
          <w:rFonts w:hint="default" w:ascii="Times New Roman" w:hAnsi="Times New Roman" w:eastAsia="仿宋" w:cs="Times New Roman"/>
          <w:color w:val="000000"/>
          <w:sz w:val="28"/>
          <w:szCs w:val="28"/>
          <w:highlight w:val="none"/>
        </w:rPr>
        <w:t>完成全部的备案工作</w:t>
      </w:r>
      <w:r>
        <w:rPr>
          <w:color w:val="auto"/>
          <w:highlight w:val="none"/>
        </w:rPr>
        <w:t>。</w:t>
      </w:r>
    </w:p>
    <w:p>
      <w:pPr>
        <w:spacing w:line="360" w:lineRule="auto"/>
        <w:ind w:firstLine="560" w:firstLineChars="200"/>
        <w:rPr>
          <w:rFonts w:hint="default" w:ascii="Times New Roman" w:hAnsi="Times New Roman" w:eastAsia="仿宋" w:cs="Times New Roman"/>
          <w:color w:val="000000"/>
          <w:sz w:val="28"/>
          <w:szCs w:val="28"/>
          <w:highlight w:val="none"/>
          <w:lang w:val="en-US" w:eastAsia="zh-CN"/>
        </w:rPr>
      </w:pPr>
      <w:r>
        <w:rPr>
          <w:color w:val="auto"/>
          <w:highlight w:val="none"/>
        </w:rPr>
        <w:t>拆旧复垦实施进度安排表</w:t>
      </w:r>
      <w:r>
        <w:rPr>
          <w:rFonts w:hint="default" w:ascii="Times New Roman" w:hAnsi="Times New Roman" w:eastAsia="仿宋" w:cs="Times New Roman"/>
          <w:color w:val="000000"/>
          <w:sz w:val="28"/>
          <w:szCs w:val="28"/>
          <w:highlight w:val="none"/>
          <w:lang w:eastAsia="zh-CN"/>
        </w:rPr>
        <w:t>见下表</w:t>
      </w:r>
      <w:r>
        <w:rPr>
          <w:rFonts w:hint="default" w:ascii="Times New Roman" w:hAnsi="Times New Roman" w:eastAsia="仿宋" w:cs="Times New Roman"/>
          <w:color w:val="000000"/>
          <w:sz w:val="28"/>
          <w:szCs w:val="28"/>
          <w:highlight w:val="none"/>
          <w:lang w:val="en-US" w:eastAsia="zh-CN"/>
        </w:rPr>
        <w:t>4-</w:t>
      </w:r>
      <w:r>
        <w:rPr>
          <w:rFonts w:hint="eastAsia" w:ascii="Times New Roman" w:hAnsi="Times New Roman" w:cs="Times New Roman"/>
          <w:color w:val="000000"/>
          <w:sz w:val="28"/>
          <w:szCs w:val="28"/>
          <w:highlight w:val="none"/>
          <w:lang w:val="en-US" w:eastAsia="zh-CN"/>
        </w:rPr>
        <w:t>6</w:t>
      </w:r>
      <w:r>
        <w:rPr>
          <w:rFonts w:hint="default" w:ascii="Times New Roman" w:hAnsi="Times New Roman" w:eastAsia="仿宋" w:cs="Times New Roman"/>
          <w:color w:val="000000"/>
          <w:sz w:val="28"/>
          <w:szCs w:val="28"/>
          <w:highlight w:val="none"/>
          <w:lang w:val="en-US" w:eastAsia="zh-CN"/>
        </w:rPr>
        <w:t>：</w:t>
      </w:r>
    </w:p>
    <w:p>
      <w:pPr>
        <w:rPr>
          <w:highlight w:val="none"/>
        </w:rPr>
        <w:sectPr>
          <w:pgSz w:w="11905" w:h="16838"/>
          <w:pgMar w:top="1440" w:right="1803" w:bottom="1559" w:left="1803" w:header="851" w:footer="992" w:gutter="0"/>
          <w:pgBorders>
            <w:top w:val="none" w:sz="0" w:space="0"/>
            <w:left w:val="none" w:sz="0" w:space="0"/>
            <w:bottom w:val="none" w:sz="0" w:space="0"/>
            <w:right w:val="none" w:sz="0" w:space="0"/>
          </w:pgBorders>
          <w:pgNumType w:fmt="decimal"/>
          <w:cols w:space="720" w:num="1"/>
          <w:rtlGutter w:val="0"/>
          <w:docGrid w:linePitch="312" w:charSpace="0"/>
        </w:sectPr>
      </w:pPr>
    </w:p>
    <w:p>
      <w:pPr>
        <w:pStyle w:val="90"/>
        <w:bidi w:val="0"/>
        <w:rPr>
          <w:color w:val="auto"/>
          <w:highlight w:val="none"/>
        </w:rPr>
      </w:pPr>
      <w:r>
        <w:rPr>
          <w:color w:val="auto"/>
          <w:highlight w:val="none"/>
        </w:rPr>
        <w:t>表4-</w:t>
      </w:r>
      <w:r>
        <w:rPr>
          <w:rFonts w:hint="eastAsia"/>
          <w:color w:val="auto"/>
          <w:highlight w:val="none"/>
          <w:lang w:val="en-US" w:eastAsia="zh-CN"/>
        </w:rPr>
        <w:t>6</w:t>
      </w:r>
      <w:r>
        <w:rPr>
          <w:color w:val="auto"/>
          <w:highlight w:val="none"/>
        </w:rPr>
        <w:t>拆旧复垦实施进度安排表</w:t>
      </w:r>
    </w:p>
    <w:tbl>
      <w:tblPr>
        <w:tblStyle w:val="29"/>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1"/>
        <w:gridCol w:w="3197"/>
        <w:gridCol w:w="672"/>
        <w:gridCol w:w="672"/>
        <w:gridCol w:w="672"/>
        <w:gridCol w:w="673"/>
        <w:gridCol w:w="673"/>
        <w:gridCol w:w="673"/>
        <w:gridCol w:w="673"/>
        <w:gridCol w:w="673"/>
        <w:gridCol w:w="673"/>
        <w:gridCol w:w="679"/>
        <w:gridCol w:w="673"/>
        <w:gridCol w:w="673"/>
        <w:gridCol w:w="673"/>
        <w:gridCol w:w="673"/>
        <w:gridCol w:w="6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1"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eastAsia"/>
                <w:highlight w:val="none"/>
                <w:lang w:val="en-US" w:eastAsia="zh-CN"/>
              </w:rPr>
              <w:t>项目名称</w:t>
            </w:r>
          </w:p>
        </w:tc>
        <w:tc>
          <w:tcPr>
            <w:tcW w:w="1139"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工作内容</w:t>
            </w:r>
          </w:p>
        </w:tc>
        <w:tc>
          <w:tcPr>
            <w:tcW w:w="3619" w:type="pct"/>
            <w:gridSpan w:val="15"/>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项目实施进度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1139"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2" w:type="pct"/>
            <w:gridSpan w:val="10"/>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202</w:t>
            </w:r>
            <w:r>
              <w:rPr>
                <w:rFonts w:hint="eastAsia"/>
                <w:highlight w:val="none"/>
                <w:lang w:val="en-US" w:eastAsia="zh-CN"/>
              </w:rPr>
              <w:t>5年</w:t>
            </w:r>
          </w:p>
        </w:tc>
        <w:tc>
          <w:tcPr>
            <w:tcW w:w="1206" w:type="pct"/>
            <w:gridSpan w:val="5"/>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202</w:t>
            </w:r>
            <w:r>
              <w:rPr>
                <w:rFonts w:hint="eastAsia"/>
                <w:highlight w:val="none"/>
                <w:lang w:val="en-US" w:eastAsia="zh-CN"/>
              </w:rPr>
              <w:t>6年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1139"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3</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4</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5</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6</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7</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8</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9</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10</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11</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12</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4</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5</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6</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7</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1"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和林格尔县</w:t>
            </w:r>
            <w:r>
              <w:rPr>
                <w:rFonts w:hint="default"/>
                <w:highlight w:val="none"/>
                <w:lang w:val="en-US" w:eastAsia="zh-CN"/>
              </w:rPr>
              <w:t>202</w:t>
            </w:r>
            <w:r>
              <w:rPr>
                <w:rFonts w:hint="eastAsia"/>
                <w:highlight w:val="none"/>
                <w:lang w:val="en-US" w:eastAsia="zh-CN"/>
              </w:rPr>
              <w:t>5年度城乡建设用地增减挂钩项目区实施方案</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对项目区进行实地踏勘调查，</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rPr>
              <mc:AlternateContent>
                <mc:Choice Requires="wps">
                  <w:drawing>
                    <wp:anchor distT="0" distB="0" distL="114300" distR="114300" simplePos="0" relativeHeight="251660288" behindDoc="0" locked="0" layoutInCell="1" allowOverlap="1">
                      <wp:simplePos x="0" y="0"/>
                      <wp:positionH relativeFrom="column">
                        <wp:posOffset>355600</wp:posOffset>
                      </wp:positionH>
                      <wp:positionV relativeFrom="paragraph">
                        <wp:posOffset>77470</wp:posOffset>
                      </wp:positionV>
                      <wp:extent cx="809625" cy="13335"/>
                      <wp:effectExtent l="0" t="0" r="0" b="0"/>
                      <wp:wrapNone/>
                      <wp:docPr id="2" name="直接连接符 8"/>
                      <wp:cNvGraphicFramePr/>
                      <a:graphic xmlns:a="http://schemas.openxmlformats.org/drawingml/2006/main">
                        <a:graphicData uri="http://schemas.microsoft.com/office/word/2010/wordprocessingShape">
                          <wps:wsp>
                            <wps:cNvCnPr/>
                            <wps:spPr>
                              <a:xfrm>
                                <a:off x="0" y="0"/>
                                <a:ext cx="809625" cy="13335"/>
                              </a:xfrm>
                              <a:prstGeom prst="straightConnector1">
                                <a:avLst/>
                              </a:prstGeom>
                              <a:ln w="25400" cap="flat" cmpd="sng">
                                <a:solidFill>
                                  <a:srgbClr val="000000"/>
                                </a:solidFill>
                                <a:prstDash val="solid"/>
                                <a:round/>
                                <a:headEnd type="none" w="med" len="med"/>
                                <a:tailEnd type="none" w="med" len="med"/>
                              </a:ln>
                            </wps:spPr>
                            <wps:bodyPr/>
                          </wps:wsp>
                        </a:graphicData>
                      </a:graphic>
                    </wp:anchor>
                  </w:drawing>
                </mc:Choice>
                <mc:Fallback>
                  <w:pict>
                    <v:shape id="直接连接符 8" o:spid="_x0000_s1026" o:spt="32" type="#_x0000_t32" style="position:absolute;left:0pt;margin-left:28pt;margin-top:6.1pt;height:1.05pt;width:63.75pt;z-index:251660288;mso-width-relative:page;mso-height-relative:page;" filled="f" stroked="t" coordsize="21600,21600" o:gfxdata="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YVAuB1gAAAAgBAAAPAAAAAAAAAAEAIAAAADgAAABkcnMvZG93bnJldi54bWxQ&#10;SwECFAAUAAAACACHTuJAJ7rdReMBAACmAwAADgAAAAAAAAABACAAAAA7AQAAZHJzL2Uyb0RvYy54&#10;bWxQSwUGAAAAAAYABgBZAQAAkAUAAAAA&#10;">
                      <v:fill on="f" focussize="0,0"/>
                      <v:stroke weight="2pt" color="#000000" joinstyle="round"/>
                      <v:imagedata o:title=""/>
                      <o:lock v:ext="edit" aspectratio="f"/>
                    </v:shape>
                  </w:pict>
                </mc:Fallback>
              </mc:AlternateConten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编制实施方案并报批</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rPr>
              <mc:AlternateContent>
                <mc:Choice Requires="wps">
                  <w:drawing>
                    <wp:anchor distT="0" distB="0" distL="114300" distR="114300" simplePos="0" relativeHeight="251661312" behindDoc="0" locked="0" layoutInCell="1" allowOverlap="1">
                      <wp:simplePos x="0" y="0"/>
                      <wp:positionH relativeFrom="column">
                        <wp:posOffset>-38735</wp:posOffset>
                      </wp:positionH>
                      <wp:positionV relativeFrom="paragraph">
                        <wp:posOffset>82550</wp:posOffset>
                      </wp:positionV>
                      <wp:extent cx="809625" cy="13335"/>
                      <wp:effectExtent l="0" t="0" r="0" b="0"/>
                      <wp:wrapNone/>
                      <wp:docPr id="3" name="直接连接符 8"/>
                      <wp:cNvGraphicFramePr/>
                      <a:graphic xmlns:a="http://schemas.openxmlformats.org/drawingml/2006/main">
                        <a:graphicData uri="http://schemas.microsoft.com/office/word/2010/wordprocessingShape">
                          <wps:wsp>
                            <wps:cNvCnPr/>
                            <wps:spPr>
                              <a:xfrm>
                                <a:off x="0" y="0"/>
                                <a:ext cx="809625" cy="13335"/>
                              </a:xfrm>
                              <a:prstGeom prst="straightConnector1">
                                <a:avLst/>
                              </a:prstGeom>
                              <a:ln w="25400" cap="flat" cmpd="sng">
                                <a:solidFill>
                                  <a:srgbClr val="000000"/>
                                </a:solidFill>
                                <a:prstDash val="solid"/>
                                <a:round/>
                                <a:headEnd type="none" w="med" len="med"/>
                                <a:tailEnd type="none" w="med" len="med"/>
                              </a:ln>
                            </wps:spPr>
                            <wps:bodyPr/>
                          </wps:wsp>
                        </a:graphicData>
                      </a:graphic>
                    </wp:anchor>
                  </w:drawing>
                </mc:Choice>
                <mc:Fallback>
                  <w:pict>
                    <v:shape id="直接连接符 8" o:spid="_x0000_s1026" o:spt="32" type="#_x0000_t32" style="position:absolute;left:0pt;margin-left:-3.05pt;margin-top:6.5pt;height:1.05pt;width:63.75pt;z-index:251661312;mso-width-relative:page;mso-height-relative:page;" filled="f" stroked="t" coordsize="21600,21600" o:gfxdata="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IYPVxfVAAAACAEAAA8AAAAAAAAAAQAgAAAAOAAAAGRycy9kb3ducmV2LnhtbFBL&#10;AQIUABQAAAAIAIdO4kBQ1Lk34wEAAKYDAAAOAAAAAAAAAAEAIAAAADoBAABkcnMvZTJvRG9jLnht&#10;bFBLBQYAAAAABgAGAFkBAACPBQAAAAA=&#10;">
                      <v:fill on="f" focussize="0,0"/>
                      <v:stroke weight="2pt" color="#000000" joinstyle="round"/>
                      <v:imagedata o:title=""/>
                      <o:lock v:ext="edit" aspectratio="f"/>
                    </v:shape>
                  </w:pict>
                </mc:Fallback>
              </mc:AlternateConten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编制复垦方案并报批；</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rPr>
              <mc:AlternateContent>
                <mc:Choice Requires="wps">
                  <w:drawing>
                    <wp:anchor distT="0" distB="0" distL="114300" distR="114300" simplePos="0" relativeHeight="251663360" behindDoc="0" locked="0" layoutInCell="1" allowOverlap="1">
                      <wp:simplePos x="0" y="0"/>
                      <wp:positionH relativeFrom="column">
                        <wp:posOffset>-3175</wp:posOffset>
                      </wp:positionH>
                      <wp:positionV relativeFrom="paragraph">
                        <wp:posOffset>102870</wp:posOffset>
                      </wp:positionV>
                      <wp:extent cx="781050" cy="9525"/>
                      <wp:effectExtent l="0" t="0" r="0" b="0"/>
                      <wp:wrapNone/>
                      <wp:docPr id="5" name="直接连接符 8"/>
                      <wp:cNvGraphicFramePr/>
                      <a:graphic xmlns:a="http://schemas.openxmlformats.org/drawingml/2006/main">
                        <a:graphicData uri="http://schemas.microsoft.com/office/word/2010/wordprocessingShape">
                          <wps:wsp>
                            <wps:cNvCnPr/>
                            <wps:spPr>
                              <a:xfrm flipV="true">
                                <a:off x="0" y="0"/>
                                <a:ext cx="781050" cy="9525"/>
                              </a:xfrm>
                              <a:prstGeom prst="straightConnector1">
                                <a:avLst/>
                              </a:prstGeom>
                              <a:ln w="25400" cap="flat" cmpd="sng">
                                <a:solidFill>
                                  <a:srgbClr val="000000"/>
                                </a:solidFill>
                                <a:prstDash val="solid"/>
                                <a:round/>
                                <a:headEnd type="none" w="med" len="med"/>
                                <a:tailEnd type="none" w="med" len="med"/>
                              </a:ln>
                            </wps:spPr>
                            <wps:bodyPr/>
                          </wps:wsp>
                        </a:graphicData>
                      </a:graphic>
                    </wp:anchor>
                  </w:drawing>
                </mc:Choice>
                <mc:Fallback>
                  <w:pict>
                    <v:shape id="直接连接符 8" o:spid="_x0000_s1026" o:spt="32" type="#_x0000_t32" style="position:absolute;left:0pt;flip:y;margin-left:-0.25pt;margin-top:8.1pt;height:0.75pt;width:61.5pt;z-index:251663360;mso-width-relative:page;mso-height-relative:page;" filled="f" stroked="t" coordsize="21600,21600" o:gfxdata="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42qFl1QAAAAcBAAAPAAAAAAAAAAEAIAAAADgAAABkcnMvZG93bnJl&#10;di54bWxQSwECFAAUAAAACACHTuJAqRBIjOoBAACyAwAADgAAAAAAAAABACAAAAA6AQAAZHJzL2Uy&#10;b0RvYy54bWxQSwUGAAAAAAYABgBZAQAAlgUAAAAA&#10;">
                      <v:fill on="f" focussize="0,0"/>
                      <v:stroke weight="2pt" color="#000000" joinstyle="round"/>
                      <v:imagedata o:title=""/>
                      <o:lock v:ext="edit" aspectratio="f"/>
                    </v:shape>
                  </w:pict>
                </mc:Fallback>
              </mc:AlternateConten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组织招标单位对复垦工程进行招标，</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rPr>
              <mc:AlternateContent>
                <mc:Choice Requires="wps">
                  <w:drawing>
                    <wp:anchor distT="0" distB="0" distL="114300" distR="114300" simplePos="0" relativeHeight="251662336" behindDoc="0" locked="0" layoutInCell="1" allowOverlap="1">
                      <wp:simplePos x="0" y="0"/>
                      <wp:positionH relativeFrom="column">
                        <wp:posOffset>5080</wp:posOffset>
                      </wp:positionH>
                      <wp:positionV relativeFrom="paragraph">
                        <wp:posOffset>194945</wp:posOffset>
                      </wp:positionV>
                      <wp:extent cx="781050" cy="9525"/>
                      <wp:effectExtent l="0" t="0" r="0" b="0"/>
                      <wp:wrapNone/>
                      <wp:docPr id="4" name="直接连接符 8"/>
                      <wp:cNvGraphicFramePr/>
                      <a:graphic xmlns:a="http://schemas.openxmlformats.org/drawingml/2006/main">
                        <a:graphicData uri="http://schemas.microsoft.com/office/word/2010/wordprocessingShape">
                          <wps:wsp>
                            <wps:cNvCnPr/>
                            <wps:spPr>
                              <a:xfrm flipV="true">
                                <a:off x="0" y="0"/>
                                <a:ext cx="781050" cy="9525"/>
                              </a:xfrm>
                              <a:prstGeom prst="straightConnector1">
                                <a:avLst/>
                              </a:prstGeom>
                              <a:ln w="25400" cap="flat" cmpd="sng">
                                <a:solidFill>
                                  <a:srgbClr val="000000"/>
                                </a:solidFill>
                                <a:prstDash val="solid"/>
                                <a:round/>
                                <a:headEnd type="none" w="med" len="med"/>
                                <a:tailEnd type="none" w="med" len="med"/>
                              </a:ln>
                            </wps:spPr>
                            <wps:bodyPr/>
                          </wps:wsp>
                        </a:graphicData>
                      </a:graphic>
                    </wp:anchor>
                  </w:drawing>
                </mc:Choice>
                <mc:Fallback>
                  <w:pict>
                    <v:shape id="直接连接符 8" o:spid="_x0000_s1026" o:spt="32" type="#_x0000_t32" style="position:absolute;left:0pt;flip:y;margin-left:0.4pt;margin-top:15.35pt;height:0.75pt;width:61.5pt;z-index:251662336;mso-width-relative:page;mso-height-relative:page;" filled="f" stroked="t" coordsize="21600,21600" o:gfxdata="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MNAc91AAAAAYBAAAPAAAAAAAAAAEAIAAAADgAAABkcnMvZG93bnJl&#10;di54bWxQSwECFAAUAAAACACHTuJAtYph2OsBAACyAwAADgAAAAAAAAABACAAAAA5AQAAZHJzL2Uy&#10;b0RvYy54bWxQSwUGAAAAAAYABgBZAQAAlgUAAAAA&#10;">
                      <v:fill on="f" focussize="0,0"/>
                      <v:stroke weight="2pt" color="#000000" joinstyle="round"/>
                      <v:imagedata o:title=""/>
                      <o:lock v:ext="edit" aspectratio="f"/>
                    </v:shape>
                  </w:pict>
                </mc:Fallback>
              </mc:AlternateConten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中标施工单位对项目区进行复垦；</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rPr>
              <mc:AlternateContent>
                <mc:Choice Requires="wps">
                  <w:drawing>
                    <wp:anchor distT="0" distB="0" distL="114300" distR="114300" simplePos="0" relativeHeight="251664384" behindDoc="0" locked="0" layoutInCell="1" allowOverlap="1">
                      <wp:simplePos x="0" y="0"/>
                      <wp:positionH relativeFrom="column">
                        <wp:posOffset>-54610</wp:posOffset>
                      </wp:positionH>
                      <wp:positionV relativeFrom="paragraph">
                        <wp:posOffset>203835</wp:posOffset>
                      </wp:positionV>
                      <wp:extent cx="781050" cy="9525"/>
                      <wp:effectExtent l="0" t="0" r="0" b="0"/>
                      <wp:wrapNone/>
                      <wp:docPr id="6" name="直接连接符 8"/>
                      <wp:cNvGraphicFramePr/>
                      <a:graphic xmlns:a="http://schemas.openxmlformats.org/drawingml/2006/main">
                        <a:graphicData uri="http://schemas.microsoft.com/office/word/2010/wordprocessingShape">
                          <wps:wsp>
                            <wps:cNvCnPr/>
                            <wps:spPr>
                              <a:xfrm flipV="true">
                                <a:off x="0" y="0"/>
                                <a:ext cx="781050" cy="9525"/>
                              </a:xfrm>
                              <a:prstGeom prst="straightConnector1">
                                <a:avLst/>
                              </a:prstGeom>
                              <a:ln w="25400" cap="flat" cmpd="sng">
                                <a:solidFill>
                                  <a:srgbClr val="000000"/>
                                </a:solidFill>
                                <a:prstDash val="solid"/>
                                <a:round/>
                                <a:headEnd type="none" w="med" len="med"/>
                                <a:tailEnd type="none" w="med" len="med"/>
                              </a:ln>
                            </wps:spPr>
                            <wps:bodyPr/>
                          </wps:wsp>
                        </a:graphicData>
                      </a:graphic>
                    </wp:anchor>
                  </w:drawing>
                </mc:Choice>
                <mc:Fallback>
                  <w:pict>
                    <v:shape id="直接连接符 8" o:spid="_x0000_s1026" o:spt="32" type="#_x0000_t32" style="position:absolute;left:0pt;flip:y;margin-left:-4.3pt;margin-top:16.05pt;height:0.75pt;width:61.5pt;z-index:251664384;mso-width-relative:page;mso-height-relative:page;" filled="f" stroked="t" coordsize="21600,21600" o:gfxdata="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JQGbW/ZAAAACAEAAA8AAAAAAAAAAQAgAAAAOAAAAGRycy9k&#10;b3ducmV2LnhtbFBLAQIUABQAAAAIAIdO4kCNvjJw6wEAALIDAAAOAAAAAAAAAAEAIAAAAD4BAABk&#10;cnMvZTJvRG9jLnhtbFBLBQYAAAAABgAGAFkBAACbBQAAAAA=&#10;">
                      <v:fill on="f" focussize="0,0"/>
                      <v:stroke weight="2pt" color="#000000" joinstyle="round"/>
                      <v:imagedata o:title=""/>
                      <o:lock v:ext="edit" aspectratio="f"/>
                    </v:shape>
                  </w:pict>
                </mc:Fallback>
              </mc:AlternateConten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r>
              <w:rPr>
                <w:rFonts w:hint="default"/>
                <w:highlight w:val="none"/>
              </w:rPr>
              <mc:AlternateContent>
                <mc:Choice Requires="wps">
                  <w:drawing>
                    <wp:anchor distT="0" distB="0" distL="114300" distR="114300" simplePos="0" relativeHeight="251665408" behindDoc="0" locked="0" layoutInCell="1" allowOverlap="1">
                      <wp:simplePos x="0" y="0"/>
                      <wp:positionH relativeFrom="column">
                        <wp:posOffset>-61595</wp:posOffset>
                      </wp:positionH>
                      <wp:positionV relativeFrom="paragraph">
                        <wp:posOffset>199390</wp:posOffset>
                      </wp:positionV>
                      <wp:extent cx="781050" cy="9525"/>
                      <wp:effectExtent l="0" t="0" r="0" b="0"/>
                      <wp:wrapNone/>
                      <wp:docPr id="7" name="直接连接符 8"/>
                      <wp:cNvGraphicFramePr/>
                      <a:graphic xmlns:a="http://schemas.openxmlformats.org/drawingml/2006/main">
                        <a:graphicData uri="http://schemas.microsoft.com/office/word/2010/wordprocessingShape">
                          <wps:wsp>
                            <wps:cNvCnPr/>
                            <wps:spPr>
                              <a:xfrm flipV="true">
                                <a:off x="0" y="0"/>
                                <a:ext cx="781050" cy="9525"/>
                              </a:xfrm>
                              <a:prstGeom prst="straightConnector1">
                                <a:avLst/>
                              </a:prstGeom>
                              <a:ln w="25400" cap="flat" cmpd="sng">
                                <a:solidFill>
                                  <a:srgbClr val="000000"/>
                                </a:solidFill>
                                <a:prstDash val="solid"/>
                                <a:round/>
                                <a:headEnd type="none" w="med" len="med"/>
                                <a:tailEnd type="none" w="med" len="med"/>
                              </a:ln>
                            </wps:spPr>
                            <wps:bodyPr/>
                          </wps:wsp>
                        </a:graphicData>
                      </a:graphic>
                    </wp:anchor>
                  </w:drawing>
                </mc:Choice>
                <mc:Fallback>
                  <w:pict>
                    <v:shape id="直接连接符 8" o:spid="_x0000_s1026" o:spt="32" type="#_x0000_t32" style="position:absolute;left:0pt;flip:y;margin-left:-4.85pt;margin-top:15.7pt;height:0.75pt;width:61.5pt;z-index:251665408;mso-width-relative:page;mso-height-relative:page;" filled="f" stroked="t" coordsize="21600,21600" o:gfxdata="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hb224dgAAAAIAQAADwAAAAAAAAABACAAAAA4AAAAZHJzL2Rv&#10;d25yZXYueG1sUEsBAhQAFAAAAAgAh07iQJEkGyTrAQAAsgMAAA4AAAAAAAAAAQAgAAAAPQEAAGRy&#10;cy9lMm9Eb2MueG1sUEsFBgAAAAAGAAYAWQEAAJoFAAAAAA==&#10;">
                      <v:fill on="f" focussize="0,0"/>
                      <v:stroke weight="2pt" color="#000000" joinstyle="round"/>
                      <v:imagedata o:title=""/>
                      <o:lock v:ext="edit" aspectratio="f"/>
                    </v:shape>
                  </w:pict>
                </mc:Fallback>
              </mc:AlternateConten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由县人民政府组织自然资源局、财政局、农牧业局、林草局等部门相关人员对项目区复垦进行初步验收；</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drawing>
                <wp:anchor distT="0" distB="0" distL="114300" distR="114300" simplePos="0" relativeHeight="251659264" behindDoc="0" locked="0" layoutInCell="1" allowOverlap="1">
                  <wp:simplePos x="0" y="0"/>
                  <wp:positionH relativeFrom="column">
                    <wp:posOffset>133350</wp:posOffset>
                  </wp:positionH>
                  <wp:positionV relativeFrom="paragraph">
                    <wp:posOffset>95250</wp:posOffset>
                  </wp:positionV>
                  <wp:extent cx="1047750" cy="0"/>
                  <wp:effectExtent l="0" t="0" r="0" b="0"/>
                  <wp:wrapNone/>
                  <wp:docPr id="1" name="直接连接符_8"/>
                  <wp:cNvGraphicFramePr/>
                  <a:graphic xmlns:a="http://schemas.openxmlformats.org/drawingml/2006/main">
                    <a:graphicData uri="http://schemas.openxmlformats.org/drawingml/2006/picture">
                      <pic:pic xmlns:pic="http://schemas.openxmlformats.org/drawingml/2006/picture">
                        <pic:nvPicPr>
                          <pic:cNvPr id="1" name="直接连接符_8"/>
                          <pic:cNvPicPr/>
                        </pic:nvPicPr>
                        <pic:blipFill>
                          <a:blip r:embed="rId25"/>
                          <a:stretch>
                            <a:fillRect/>
                          </a:stretch>
                        </pic:blipFill>
                        <pic:spPr>
                          <a:xfrm>
                            <a:off x="0" y="0"/>
                            <a:ext cx="1047750" cy="0"/>
                          </a:xfrm>
                          <a:prstGeom prst="rect">
                            <a:avLst/>
                          </a:prstGeom>
                          <a:noFill/>
                          <a:ln>
                            <a:noFill/>
                          </a:ln>
                        </pic:spPr>
                      </pic:pic>
                    </a:graphicData>
                  </a:graphic>
                </wp:anchor>
              </w:drawing>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r>
              <w:rPr>
                <w:rFonts w:hint="default"/>
                <w:highlight w:val="none"/>
              </w:rPr>
              <mc:AlternateContent>
                <mc:Choice Requires="wps">
                  <w:drawing>
                    <wp:anchor distT="0" distB="0" distL="114300" distR="114300" simplePos="0" relativeHeight="251666432" behindDoc="0" locked="0" layoutInCell="1" allowOverlap="1">
                      <wp:simplePos x="0" y="0"/>
                      <wp:positionH relativeFrom="column">
                        <wp:posOffset>-8255</wp:posOffset>
                      </wp:positionH>
                      <wp:positionV relativeFrom="paragraph">
                        <wp:posOffset>435610</wp:posOffset>
                      </wp:positionV>
                      <wp:extent cx="781050" cy="9525"/>
                      <wp:effectExtent l="0" t="0" r="0" b="0"/>
                      <wp:wrapNone/>
                      <wp:docPr id="8" name="直接连接符 8"/>
                      <wp:cNvGraphicFramePr/>
                      <a:graphic xmlns:a="http://schemas.openxmlformats.org/drawingml/2006/main">
                        <a:graphicData uri="http://schemas.microsoft.com/office/word/2010/wordprocessingShape">
                          <wps:wsp>
                            <wps:cNvCnPr/>
                            <wps:spPr>
                              <a:xfrm flipV="true">
                                <a:off x="0" y="0"/>
                                <a:ext cx="781050" cy="9525"/>
                              </a:xfrm>
                              <a:prstGeom prst="straightConnector1">
                                <a:avLst/>
                              </a:prstGeom>
                              <a:ln w="25400" cap="flat" cmpd="sng">
                                <a:solidFill>
                                  <a:srgbClr val="000000"/>
                                </a:solidFill>
                                <a:prstDash val="solid"/>
                                <a:round/>
                                <a:headEnd type="none" w="med" len="med"/>
                                <a:tailEnd type="none" w="med" len="med"/>
                              </a:ln>
                            </wps:spPr>
                            <wps:bodyPr/>
                          </wps:wsp>
                        </a:graphicData>
                      </a:graphic>
                    </wp:anchor>
                  </w:drawing>
                </mc:Choice>
                <mc:Fallback>
                  <w:pict>
                    <v:shape id="直接连接符 8" o:spid="_x0000_s1026" o:spt="32" type="#_x0000_t32" style="position:absolute;left:0pt;flip:y;margin-left:-0.65pt;margin-top:34.3pt;height:0.75pt;width:61.5pt;z-index:251666432;mso-width-relative:page;mso-height-relative:page;" filled="f" stroked="t" coordsize="21600,21600" o:gfxdata="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ojbo42AAAAAgBAAAPAAAAAAAAAAEAIAAAADgAAABkcnMvZG93&#10;bnJldi54bWxQSwECFAAUAAAACACHTuJApz5pn+oBAACyAwAADgAAAAAAAAABACAAAAA9AQAAZHJz&#10;L2Uyb0RvYy54bWxQSwUGAAAAAAYABgBZAQAAmQUAAAAA&#10;">
                      <v:fill on="f" focussize="0,0"/>
                      <v:stroke weight="2pt" color="#000000" joinstyle="round"/>
                      <v:imagedata o:title=""/>
                      <o:lock v:ext="edit" aspectratio="f"/>
                    </v:shape>
                  </w:pict>
                </mc:Fallback>
              </mc:AlternateContent>
            </w: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申请市自然资源局组织验收，自治区自然资源厅进行复核；</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r>
              <w:rPr>
                <w:rFonts w:hint="default"/>
                <w:highlight w:val="none"/>
              </w:rPr>
              <mc:AlternateContent>
                <mc:Choice Requires="wps">
                  <w:drawing>
                    <wp:anchor distT="0" distB="0" distL="114300" distR="114300" simplePos="0" relativeHeight="251667456" behindDoc="0" locked="0" layoutInCell="1" allowOverlap="1">
                      <wp:simplePos x="0" y="0"/>
                      <wp:positionH relativeFrom="column">
                        <wp:posOffset>-57785</wp:posOffset>
                      </wp:positionH>
                      <wp:positionV relativeFrom="paragraph">
                        <wp:posOffset>225425</wp:posOffset>
                      </wp:positionV>
                      <wp:extent cx="381000" cy="0"/>
                      <wp:effectExtent l="0" t="12700" r="0" b="15875"/>
                      <wp:wrapNone/>
                      <wp:docPr id="9" name="直接连接符 8"/>
                      <wp:cNvGraphicFramePr/>
                      <a:graphic xmlns:a="http://schemas.openxmlformats.org/drawingml/2006/main">
                        <a:graphicData uri="http://schemas.microsoft.com/office/word/2010/wordprocessingShape">
                          <wps:wsp>
                            <wps:cNvCnPr/>
                            <wps:spPr>
                              <a:xfrm>
                                <a:off x="0" y="0"/>
                                <a:ext cx="381000" cy="0"/>
                              </a:xfrm>
                              <a:prstGeom prst="straightConnector1">
                                <a:avLst/>
                              </a:prstGeom>
                              <a:ln w="25400" cap="flat" cmpd="sng">
                                <a:solidFill>
                                  <a:srgbClr val="000000"/>
                                </a:solidFill>
                                <a:prstDash val="solid"/>
                                <a:round/>
                                <a:headEnd type="none" w="med" len="med"/>
                                <a:tailEnd type="none" w="med" len="med"/>
                              </a:ln>
                            </wps:spPr>
                            <wps:bodyPr/>
                          </wps:wsp>
                        </a:graphicData>
                      </a:graphic>
                    </wp:anchor>
                  </w:drawing>
                </mc:Choice>
                <mc:Fallback>
                  <w:pict>
                    <v:shape id="直接连接符 8" o:spid="_x0000_s1026" o:spt="32" type="#_x0000_t32" style="position:absolute;left:0pt;margin-left:-4.55pt;margin-top:17.75pt;height:0pt;width:30pt;z-index:251667456;mso-width-relative:page;mso-height-relative:page;" filled="f" stroked="t" coordsize="21600,21600" o:gfxdata="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BYAAABkcnMvUEsBAhQAFAAAAAgA&#10;h07iQK/FZx7TAAAABwEAAA8AAAAAAAAAAQAgAAAAOAAAAGRycy9kb3ducmV2LnhtbFBLAQIUABQA&#10;AAAIAIdO4kCLcoWE3wEAAKIDAAAOAAAAAAAAAAEAIAAAADgBAABkcnMvZTJvRG9jLnhtbFBLBQYA&#10;AAAABgAGAFkBAACJBQAAAAA=&#10;">
                      <v:fill on="f" focussize="0,0"/>
                      <v:stroke weight="2pt" color="#000000" joinstyle="round"/>
                      <v:imagedata o:title=""/>
                      <o:lock v:ext="edit" aspectratio="f"/>
                    </v:shape>
                  </w:pict>
                </mc:Fallback>
              </mc:AlternateContent>
            </w: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整理项目区资料，文件归档、备案。</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default"/>
                <w:highlight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r>
              <w:rPr>
                <w:rFonts w:hint="default"/>
                <w:highlight w:val="none"/>
              </w:rPr>
              <mc:AlternateContent>
                <mc:Choice Requires="wps">
                  <w:drawing>
                    <wp:anchor distT="0" distB="0" distL="114300" distR="114300" simplePos="0" relativeHeight="251668480" behindDoc="0" locked="0" layoutInCell="1" allowOverlap="1">
                      <wp:simplePos x="0" y="0"/>
                      <wp:positionH relativeFrom="column">
                        <wp:posOffset>-10160</wp:posOffset>
                      </wp:positionH>
                      <wp:positionV relativeFrom="paragraph">
                        <wp:posOffset>177800</wp:posOffset>
                      </wp:positionV>
                      <wp:extent cx="781050" cy="9525"/>
                      <wp:effectExtent l="0" t="0" r="0" b="0"/>
                      <wp:wrapNone/>
                      <wp:docPr id="10" name="直接连接符 8"/>
                      <wp:cNvGraphicFramePr/>
                      <a:graphic xmlns:a="http://schemas.openxmlformats.org/drawingml/2006/main">
                        <a:graphicData uri="http://schemas.microsoft.com/office/word/2010/wordprocessingShape">
                          <wps:wsp>
                            <wps:cNvCnPr/>
                            <wps:spPr>
                              <a:xfrm flipV="true">
                                <a:off x="0" y="0"/>
                                <a:ext cx="781050" cy="9525"/>
                              </a:xfrm>
                              <a:prstGeom prst="straightConnector1">
                                <a:avLst/>
                              </a:prstGeom>
                              <a:ln w="25400" cap="flat" cmpd="sng">
                                <a:solidFill>
                                  <a:srgbClr val="000000"/>
                                </a:solidFill>
                                <a:prstDash val="solid"/>
                                <a:round/>
                                <a:headEnd type="none" w="med" len="med"/>
                                <a:tailEnd type="none" w="med" len="med"/>
                              </a:ln>
                            </wps:spPr>
                            <wps:bodyPr/>
                          </wps:wsp>
                        </a:graphicData>
                      </a:graphic>
                    </wp:anchor>
                  </w:drawing>
                </mc:Choice>
                <mc:Fallback>
                  <w:pict>
                    <v:shape id="直接连接符 8" o:spid="_x0000_s1026" o:spt="32" type="#_x0000_t32" style="position:absolute;left:0pt;flip:y;margin-left:-0.8pt;margin-top:14pt;height:0.75pt;width:61.5pt;z-index:251668480;mso-width-relative:page;mso-height-relative:page;" filled="f" stroked="t" coordsize="21600,21600" o:gfxdata="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BRQhB9kAAAAIAQAADwAAAAAAAAABACAAAAA4AAAAZHJzL2Rv&#10;d25yZXYueG1sUEsBAhQAFAAAAAgAh07iQGtZZfTqAQAAswMAAA4AAAAAAAAAAQAgAAAAPgEAAGRy&#10;cy9lMm9Eb2MueG1sUEsFBgAAAAAGAAYAWQEAAJoFAAAAAA==&#10;">
                      <v:fill on="f" focussize="0,0"/>
                      <v:stroke weight="2pt" color="#000000" joinstyle="round"/>
                      <v:imagedata o:title=""/>
                      <o:lock v:ext="edit" aspectratio="f"/>
                    </v:shape>
                  </w:pict>
                </mc:Fallback>
              </mc:AlternateContent>
            </w:r>
          </w:p>
        </w:tc>
        <w:tc>
          <w:tcPr>
            <w:tcW w:w="241" w:type="pct"/>
            <w:tcBorders>
              <w:top w:val="single" w:color="000000" w:sz="4" w:space="0"/>
              <w:left w:val="single" w:color="000000" w:sz="4" w:space="0"/>
              <w:bottom w:val="single" w:color="000000" w:sz="4" w:space="0"/>
              <w:right w:val="single" w:color="000000" w:sz="4" w:space="0"/>
            </w:tcBorders>
            <w:noWrap/>
            <w:vAlign w:val="center"/>
          </w:tcPr>
          <w:p>
            <w:pPr>
              <w:pStyle w:val="80"/>
              <w:keepNext w:val="0"/>
              <w:keepLines w:val="0"/>
              <w:suppressLineNumbers w:val="0"/>
              <w:bidi w:val="0"/>
              <w:spacing w:before="0" w:beforeAutospacing="0" w:after="0" w:afterAutospacing="0"/>
              <w:ind w:left="0" w:right="0"/>
              <w:rPr>
                <w:rFonts w:hint="eastAsia"/>
                <w:highlight w:val="none"/>
              </w:rPr>
            </w:pPr>
          </w:p>
        </w:tc>
      </w:tr>
    </w:tbl>
    <w:p>
      <w:pPr>
        <w:pStyle w:val="55"/>
        <w:rPr>
          <w:rFonts w:eastAsia="仿宋_GB2312"/>
          <w:b/>
          <w:bCs/>
          <w:color w:val="auto"/>
          <w:sz w:val="28"/>
          <w:szCs w:val="28"/>
          <w:highlight w:val="none"/>
        </w:rPr>
        <w:sectPr>
          <w:pgSz w:w="16838" w:h="11905" w:orient="landscape"/>
          <w:pgMar w:top="1803" w:right="1440" w:bottom="1803" w:left="1559" w:header="851" w:footer="992" w:gutter="0"/>
          <w:pgBorders>
            <w:top w:val="none" w:sz="0" w:space="0"/>
            <w:left w:val="none" w:sz="0" w:space="0"/>
            <w:bottom w:val="none" w:sz="0" w:space="0"/>
            <w:right w:val="none" w:sz="0" w:space="0"/>
          </w:pgBorders>
          <w:pgNumType w:fmt="decimal"/>
          <w:cols w:space="720" w:num="1"/>
          <w:rtlGutter w:val="0"/>
          <w:docGrid w:linePitch="395" w:charSpace="0"/>
        </w:sectPr>
      </w:pPr>
    </w:p>
    <w:p>
      <w:pPr>
        <w:pStyle w:val="2"/>
        <w:numPr>
          <w:ilvl w:val="0"/>
          <w:numId w:val="0"/>
        </w:numPr>
        <w:bidi w:val="0"/>
        <w:ind w:left="0" w:leftChars="0" w:firstLine="722" w:firstLineChars="200"/>
        <w:rPr>
          <w:rFonts w:ascii="Times New Roman" w:hAnsi="Times New Roman" w:cs="Times New Roman"/>
          <w:color w:val="auto"/>
          <w:highlight w:val="none"/>
        </w:rPr>
      </w:pPr>
      <w:bookmarkStart w:id="147" w:name="_Toc13363"/>
      <w:bookmarkStart w:id="148" w:name="_Toc4847"/>
      <w:bookmarkStart w:id="149" w:name="_Toc5683"/>
      <w:bookmarkStart w:id="150" w:name="_Toc25784"/>
      <w:r>
        <w:rPr>
          <w:rFonts w:hint="eastAsia" w:ascii="Times New Roman" w:hAnsi="Times New Roman" w:eastAsia="仿宋" w:cs="Times New Roman"/>
          <w:b/>
          <w:bCs/>
          <w:color w:val="auto"/>
          <w:kern w:val="44"/>
          <w:sz w:val="36"/>
          <w:szCs w:val="44"/>
          <w:lang w:val="en-US" w:eastAsia="zh-CN" w:bidi="ar-SA"/>
        </w:rPr>
        <w:t>第</w:t>
      </w:r>
      <w:r>
        <w:rPr>
          <w:rFonts w:hint="eastAsia" w:ascii="Times New Roman" w:hAnsi="Times New Roman" w:cs="Times New Roman"/>
          <w:b/>
          <w:bCs/>
          <w:color w:val="auto"/>
          <w:kern w:val="44"/>
          <w:sz w:val="36"/>
          <w:szCs w:val="44"/>
          <w:lang w:val="en-US" w:eastAsia="zh-CN" w:bidi="ar-SA"/>
        </w:rPr>
        <w:t>五</w:t>
      </w:r>
      <w:r>
        <w:rPr>
          <w:rFonts w:hint="eastAsia" w:ascii="Times New Roman" w:hAnsi="Times New Roman" w:eastAsia="仿宋" w:cs="Times New Roman"/>
          <w:b/>
          <w:bCs/>
          <w:color w:val="auto"/>
          <w:kern w:val="44"/>
          <w:sz w:val="36"/>
          <w:szCs w:val="44"/>
          <w:lang w:val="en-US" w:eastAsia="zh-CN" w:bidi="ar-SA"/>
        </w:rPr>
        <w:t>章</w:t>
      </w:r>
      <w:r>
        <w:rPr>
          <w:rFonts w:ascii="Times New Roman" w:hAnsi="Times New Roman" w:cs="Times New Roman"/>
          <w:color w:val="auto"/>
          <w:highlight w:val="none"/>
        </w:rPr>
        <w:t>土地权属调整及公众参与情况</w:t>
      </w:r>
      <w:bookmarkEnd w:id="147"/>
      <w:bookmarkEnd w:id="148"/>
      <w:bookmarkEnd w:id="149"/>
      <w:bookmarkEnd w:id="150"/>
    </w:p>
    <w:p>
      <w:pPr>
        <w:pStyle w:val="3"/>
        <w:bidi w:val="0"/>
        <w:rPr>
          <w:color w:val="auto"/>
          <w:highlight w:val="none"/>
        </w:rPr>
      </w:pPr>
      <w:bookmarkStart w:id="151" w:name="_Toc27972"/>
      <w:bookmarkStart w:id="152" w:name="_Toc29319"/>
      <w:bookmarkStart w:id="153" w:name="_Toc15011"/>
      <w:r>
        <w:rPr>
          <w:color w:val="auto"/>
          <w:highlight w:val="none"/>
        </w:rPr>
        <w:t>5.1 土地权属调整</w:t>
      </w:r>
      <w:bookmarkEnd w:id="151"/>
      <w:bookmarkEnd w:id="152"/>
      <w:bookmarkEnd w:id="153"/>
    </w:p>
    <w:p>
      <w:pPr>
        <w:keepNext w:val="0"/>
        <w:keepLines w:val="0"/>
        <w:widowControl/>
        <w:suppressLineNumbers w:val="0"/>
        <w:jc w:val="left"/>
        <w:rPr>
          <w:rFonts w:hint="eastAsia"/>
          <w:highlight w:val="none"/>
          <w:lang w:val="en-US" w:eastAsia="zh-CN"/>
        </w:rPr>
      </w:pPr>
      <w:r>
        <w:rPr>
          <w:rFonts w:hint="eastAsia"/>
          <w:highlight w:val="none"/>
          <w:lang w:val="en-US" w:eastAsia="zh-CN"/>
        </w:rPr>
        <w:t>呼和浩特市和林格尔县</w:t>
      </w:r>
      <w:r>
        <w:rPr>
          <w:rFonts w:hint="eastAsia"/>
          <w:highlight w:val="none"/>
          <w:lang w:eastAsia="zh-CN"/>
        </w:rPr>
        <w:t>202</w:t>
      </w:r>
      <w:r>
        <w:rPr>
          <w:rFonts w:hint="eastAsia"/>
          <w:highlight w:val="none"/>
          <w:lang w:val="en-US" w:eastAsia="zh-CN"/>
        </w:rPr>
        <w:t>5</w:t>
      </w:r>
      <w:r>
        <w:rPr>
          <w:rFonts w:hint="eastAsia"/>
          <w:highlight w:val="none"/>
          <w:lang w:eastAsia="zh-CN"/>
        </w:rPr>
        <w:t>年城乡建设用地增减挂钩</w:t>
      </w:r>
      <w:r>
        <w:rPr>
          <w:rFonts w:hint="eastAsia"/>
          <w:highlight w:val="none"/>
          <w:lang w:val="en-US" w:eastAsia="zh-CN"/>
        </w:rPr>
        <w:t>项目规模459.69亩。项目区共22个地块，位于1个乡镇，3个行政村。</w:t>
      </w:r>
    </w:p>
    <w:p>
      <w:pPr>
        <w:keepNext w:val="0"/>
        <w:keepLines w:val="0"/>
        <w:widowControl/>
        <w:suppressLineNumbers w:val="0"/>
        <w:jc w:val="left"/>
        <w:rPr>
          <w:highlight w:val="none"/>
        </w:rPr>
      </w:pPr>
      <w:r>
        <w:rPr>
          <w:rFonts w:hint="eastAsia"/>
          <w:highlight w:val="none"/>
          <w:lang w:val="en-US" w:eastAsia="zh-CN"/>
        </w:rPr>
        <w:t>巧什营镇涉及3个村，分别为一间房村、岱州窑村和巴尔旦营村。</w:t>
      </w:r>
    </w:p>
    <w:p>
      <w:pPr>
        <w:bidi w:val="0"/>
        <w:ind w:firstLine="560" w:firstLineChars="200"/>
        <w:rPr>
          <w:color w:val="auto"/>
          <w:highlight w:val="none"/>
        </w:rPr>
      </w:pPr>
      <w:r>
        <w:rPr>
          <w:rFonts w:hint="eastAsia"/>
          <w:color w:val="auto"/>
          <w:highlight w:val="none"/>
          <w:lang w:val="en-US" w:eastAsia="zh-CN"/>
        </w:rPr>
        <w:t>和林格尔县</w:t>
      </w:r>
      <w:r>
        <w:rPr>
          <w:rFonts w:hint="eastAsia"/>
          <w:color w:val="auto"/>
          <w:highlight w:val="none"/>
          <w:lang w:eastAsia="zh-CN"/>
        </w:rPr>
        <w:t>202</w:t>
      </w:r>
      <w:r>
        <w:rPr>
          <w:rFonts w:hint="eastAsia"/>
          <w:color w:val="auto"/>
          <w:highlight w:val="none"/>
          <w:lang w:val="en-US" w:eastAsia="zh-CN"/>
        </w:rPr>
        <w:t>5</w:t>
      </w:r>
      <w:r>
        <w:rPr>
          <w:rFonts w:hint="eastAsia"/>
          <w:color w:val="auto"/>
          <w:highlight w:val="none"/>
          <w:lang w:eastAsia="zh-CN"/>
        </w:rPr>
        <w:t>年城乡建设用地增减挂钩</w:t>
      </w:r>
      <w:r>
        <w:rPr>
          <w:rFonts w:hint="eastAsia"/>
          <w:color w:val="auto"/>
          <w:highlight w:val="none"/>
          <w:lang w:val="en-US" w:eastAsia="zh-CN"/>
        </w:rPr>
        <w:t>巧什营镇项目区</w:t>
      </w:r>
      <w:r>
        <w:rPr>
          <w:rFonts w:hint="eastAsia"/>
          <w:color w:val="auto"/>
          <w:highlight w:val="none"/>
          <w:lang w:eastAsia="zh-CN"/>
        </w:rPr>
        <w:t>实施方案</w:t>
      </w:r>
      <w:r>
        <w:rPr>
          <w:color w:val="auto"/>
          <w:highlight w:val="none"/>
        </w:rPr>
        <w:t>拆旧区内的建设用地全部为集体土地，项目区土地权属明确</w:t>
      </w:r>
      <w:r>
        <w:rPr>
          <w:rFonts w:hint="eastAsia"/>
          <w:color w:val="auto"/>
          <w:highlight w:val="none"/>
          <w:lang w:eastAsia="zh-CN"/>
        </w:rPr>
        <w:t>（</w:t>
      </w:r>
      <w:r>
        <w:rPr>
          <w:rFonts w:hint="eastAsia"/>
          <w:color w:val="auto"/>
          <w:highlight w:val="none"/>
          <w:lang w:val="en-US" w:eastAsia="zh-CN"/>
        </w:rPr>
        <w:t>依据2023年变更库</w:t>
      </w:r>
      <w:r>
        <w:rPr>
          <w:rFonts w:hint="eastAsia"/>
          <w:color w:val="auto"/>
          <w:highlight w:val="none"/>
          <w:lang w:eastAsia="zh-CN"/>
        </w:rPr>
        <w:t>）</w:t>
      </w:r>
      <w:r>
        <w:rPr>
          <w:color w:val="auto"/>
          <w:highlight w:val="none"/>
        </w:rPr>
        <w:t>、四至界限清楚、无权属纠纷，通过全体村民代表表决同意的前提下进行实施。项目由</w:t>
      </w:r>
      <w:r>
        <w:rPr>
          <w:rFonts w:hint="eastAsia"/>
          <w:color w:val="auto"/>
          <w:highlight w:val="none"/>
          <w:lang w:val="en-US" w:eastAsia="zh-CN"/>
        </w:rPr>
        <w:t>县</w:t>
      </w:r>
      <w:r>
        <w:rPr>
          <w:color w:val="auto"/>
          <w:highlight w:val="none"/>
        </w:rPr>
        <w:t>人民政府和</w:t>
      </w:r>
      <w:r>
        <w:rPr>
          <w:rFonts w:hint="eastAsia"/>
          <w:color w:val="auto"/>
          <w:highlight w:val="none"/>
        </w:rPr>
        <w:t>各乡</w:t>
      </w:r>
      <w:r>
        <w:rPr>
          <w:color w:val="auto"/>
          <w:highlight w:val="none"/>
        </w:rPr>
        <w:t>镇人民政府组织实施，村民委员会负责协助。待项目实施验收通过后</w:t>
      </w:r>
      <w:r>
        <w:rPr>
          <w:rFonts w:hint="eastAsia"/>
          <w:color w:val="auto"/>
          <w:highlight w:val="none"/>
        </w:rPr>
        <w:t>仍归集体所有，由村集体进行统一分配安排</w:t>
      </w:r>
      <w:r>
        <w:rPr>
          <w:color w:val="auto"/>
          <w:highlight w:val="none"/>
        </w:rPr>
        <w:t>。</w:t>
      </w:r>
    </w:p>
    <w:p>
      <w:pPr>
        <w:pStyle w:val="3"/>
        <w:bidi w:val="0"/>
        <w:rPr>
          <w:color w:val="auto"/>
          <w:highlight w:val="none"/>
        </w:rPr>
      </w:pPr>
      <w:bookmarkStart w:id="154" w:name="_Toc7431"/>
      <w:bookmarkStart w:id="155" w:name="_Toc14160"/>
      <w:bookmarkStart w:id="156" w:name="_Toc32202"/>
      <w:r>
        <w:rPr>
          <w:color w:val="auto"/>
          <w:highlight w:val="none"/>
        </w:rPr>
        <w:t>5.2 公众参与情况</w:t>
      </w:r>
      <w:bookmarkEnd w:id="154"/>
      <w:bookmarkEnd w:id="155"/>
      <w:bookmarkEnd w:id="156"/>
    </w:p>
    <w:p>
      <w:pPr>
        <w:bidi w:val="0"/>
        <w:ind w:firstLine="560" w:firstLineChars="200"/>
        <w:rPr>
          <w:rFonts w:hint="eastAsia"/>
          <w:color w:val="auto"/>
          <w:highlight w:val="none"/>
          <w:lang w:val="en-US" w:eastAsia="zh-CN"/>
        </w:rPr>
      </w:pPr>
      <w:r>
        <w:rPr>
          <w:color w:val="auto"/>
          <w:highlight w:val="none"/>
          <w:lang w:val="en-US" w:eastAsia="zh-CN"/>
        </w:rPr>
        <w:t>在编制实施方案前，为了解本项目所在区域公众对本项目的态度</w:t>
      </w:r>
      <w:r>
        <w:rPr>
          <w:rFonts w:hint="eastAsia"/>
          <w:color w:val="auto"/>
          <w:highlight w:val="none"/>
          <w:lang w:val="en-US" w:eastAsia="zh-CN"/>
        </w:rPr>
        <w:t>，</w:t>
      </w:r>
      <w:r>
        <w:rPr>
          <w:color w:val="auto"/>
          <w:highlight w:val="none"/>
          <w:lang w:val="en-US" w:eastAsia="zh-CN"/>
        </w:rPr>
        <w:t>进</w:t>
      </w:r>
      <w:r>
        <w:rPr>
          <w:rFonts w:hint="eastAsia"/>
          <w:color w:val="auto"/>
          <w:highlight w:val="none"/>
          <w:lang w:val="en-US" w:eastAsia="zh-CN"/>
        </w:rPr>
        <w:t xml:space="preserve">行公众参与调查，由和林格尔县自然资源局以及村委会组织项目区内农牧民参加了项目实施征求意见会。会议议程主要有以下几个方面：一是介绍基本情况，包括项目的性质、类型、规模及以国家相关土地复垦政策。如实向公众阐明本项目复垦后可能产生的问题，介绍项目投资复垦后生态环境变化带来的经济效益、环境效益以及对促进地方经济发展的情况。二是听取与会代表的诉求并进行调查，并发放调查问卷。 </w:t>
      </w:r>
    </w:p>
    <w:p>
      <w:pPr>
        <w:bidi w:val="0"/>
        <w:ind w:firstLine="560" w:firstLineChars="200"/>
        <w:rPr>
          <w:color w:val="auto"/>
          <w:highlight w:val="none"/>
        </w:rPr>
      </w:pPr>
      <w:r>
        <w:rPr>
          <w:rFonts w:hint="eastAsia"/>
          <w:color w:val="auto"/>
          <w:highlight w:val="none"/>
          <w:lang w:val="en-US" w:eastAsia="zh-CN"/>
        </w:rPr>
        <w:t>会议结束后，根据反馈的问卷信息，项目区农牧民持支持态度，一致同意对项目区进行整理复垦，对于项目区实施后承包等管理事项，农牧民表示无异议，并将给予全力支持，各村委会也表示对本项目的实施表示支持。认为该项目的实施对当地经济和生态环境能起到积极作用。</w:t>
      </w:r>
    </w:p>
    <w:p>
      <w:pPr>
        <w:pStyle w:val="2"/>
        <w:bidi w:val="0"/>
        <w:rPr>
          <w:rFonts w:ascii="Times New Roman" w:hAnsi="Times New Roman" w:cs="Times New Roman"/>
          <w:color w:val="auto"/>
          <w:highlight w:val="none"/>
        </w:rPr>
      </w:pPr>
      <w:bookmarkStart w:id="157" w:name="_Toc7357"/>
      <w:bookmarkStart w:id="158" w:name="_Toc11175"/>
      <w:bookmarkStart w:id="159" w:name="_Toc196"/>
      <w:r>
        <w:rPr>
          <w:rFonts w:hint="eastAsia" w:ascii="Times New Roman" w:hAnsi="Times New Roman" w:eastAsia="仿宋" w:cs="Times New Roman"/>
          <w:b/>
          <w:bCs/>
          <w:color w:val="auto"/>
          <w:kern w:val="44"/>
          <w:sz w:val="36"/>
          <w:szCs w:val="44"/>
          <w:highlight w:val="none"/>
          <w:lang w:val="en-US" w:eastAsia="zh-CN" w:bidi="ar-SA"/>
        </w:rPr>
        <w:t>第</w:t>
      </w:r>
      <w:r>
        <w:rPr>
          <w:rFonts w:hint="eastAsia" w:ascii="Times New Roman" w:hAnsi="Times New Roman" w:cs="Times New Roman"/>
          <w:b/>
          <w:bCs/>
          <w:color w:val="auto"/>
          <w:kern w:val="44"/>
          <w:sz w:val="36"/>
          <w:szCs w:val="44"/>
          <w:highlight w:val="none"/>
          <w:lang w:val="en-US" w:eastAsia="zh-CN" w:bidi="ar-SA"/>
        </w:rPr>
        <w:t>六</w:t>
      </w:r>
      <w:r>
        <w:rPr>
          <w:rFonts w:hint="eastAsia" w:ascii="Times New Roman" w:hAnsi="Times New Roman" w:eastAsia="仿宋" w:cs="Times New Roman"/>
          <w:b/>
          <w:bCs/>
          <w:color w:val="auto"/>
          <w:kern w:val="44"/>
          <w:sz w:val="36"/>
          <w:szCs w:val="44"/>
          <w:highlight w:val="none"/>
          <w:lang w:val="en-US" w:eastAsia="zh-CN" w:bidi="ar-SA"/>
        </w:rPr>
        <w:t>章</w:t>
      </w:r>
      <w:bookmarkStart w:id="160" w:name="_Toc12401"/>
      <w:r>
        <w:rPr>
          <w:rFonts w:ascii="Times New Roman" w:hAnsi="Times New Roman" w:cs="Times New Roman"/>
          <w:color w:val="auto"/>
          <w:highlight w:val="none"/>
        </w:rPr>
        <w:t>投资估算与资金筹资</w:t>
      </w:r>
      <w:bookmarkEnd w:id="157"/>
      <w:bookmarkEnd w:id="158"/>
      <w:bookmarkEnd w:id="159"/>
      <w:bookmarkEnd w:id="160"/>
    </w:p>
    <w:p>
      <w:pPr>
        <w:pStyle w:val="3"/>
        <w:bidi w:val="0"/>
        <w:rPr>
          <w:rFonts w:hint="default"/>
          <w:color w:val="auto"/>
          <w:highlight w:val="none"/>
          <w:lang w:val="en-US" w:eastAsia="zh-CN"/>
        </w:rPr>
      </w:pPr>
      <w:bookmarkStart w:id="161" w:name="_Toc308159270"/>
      <w:bookmarkStart w:id="162" w:name="_Toc13153"/>
      <w:bookmarkStart w:id="163" w:name="_Toc6881"/>
      <w:bookmarkStart w:id="164" w:name="_Toc18230"/>
      <w:bookmarkStart w:id="165" w:name="_Toc22848"/>
      <w:bookmarkStart w:id="166" w:name="_Toc308503341"/>
      <w:bookmarkStart w:id="167" w:name="_Toc3573"/>
      <w:bookmarkStart w:id="168" w:name="_Toc30126"/>
      <w:bookmarkStart w:id="169" w:name="_Toc164847623"/>
      <w:bookmarkStart w:id="170" w:name="_Toc136162944"/>
      <w:bookmarkStart w:id="171" w:name="_Toc218308858"/>
      <w:bookmarkStart w:id="172" w:name="_Toc183080157"/>
      <w:r>
        <w:rPr>
          <w:rFonts w:hint="default"/>
          <w:color w:val="auto"/>
          <w:highlight w:val="none"/>
          <w:lang w:val="en-US" w:eastAsia="zh-CN"/>
        </w:rPr>
        <w:t>6.1 投资估算原则</w:t>
      </w:r>
      <w:bookmarkEnd w:id="161"/>
      <w:bookmarkEnd w:id="162"/>
      <w:bookmarkEnd w:id="163"/>
      <w:bookmarkEnd w:id="164"/>
      <w:bookmarkEnd w:id="165"/>
      <w:bookmarkEnd w:id="166"/>
      <w:bookmarkEnd w:id="167"/>
      <w:bookmarkEnd w:id="168"/>
    </w:p>
    <w:p>
      <w:pPr>
        <w:bidi w:val="0"/>
        <w:ind w:firstLine="560" w:firstLineChars="200"/>
        <w:rPr>
          <w:rFonts w:hint="default"/>
          <w:color w:val="auto"/>
          <w:highlight w:val="none"/>
        </w:rPr>
      </w:pPr>
      <w:r>
        <w:rPr>
          <w:rFonts w:hint="default"/>
          <w:color w:val="auto"/>
          <w:highlight w:val="none"/>
          <w:lang w:val="en-US" w:eastAsia="zh-CN"/>
        </w:rPr>
        <w:t>1、</w:t>
      </w:r>
      <w:r>
        <w:rPr>
          <w:rFonts w:hint="default"/>
          <w:color w:val="auto"/>
          <w:highlight w:val="none"/>
        </w:rPr>
        <w:t>符合国家有关的法律、法规规定；</w:t>
      </w:r>
    </w:p>
    <w:p>
      <w:pPr>
        <w:bidi w:val="0"/>
        <w:ind w:firstLine="560" w:firstLineChars="200"/>
        <w:rPr>
          <w:rFonts w:hint="default"/>
          <w:color w:val="auto"/>
          <w:highlight w:val="none"/>
        </w:rPr>
      </w:pPr>
      <w:r>
        <w:rPr>
          <w:rFonts w:hint="default"/>
          <w:color w:val="auto"/>
          <w:highlight w:val="none"/>
          <w:lang w:val="en-US" w:eastAsia="zh-CN"/>
        </w:rPr>
        <w:t>2、</w:t>
      </w:r>
      <w:r>
        <w:rPr>
          <w:rFonts w:hint="default"/>
          <w:color w:val="auto"/>
          <w:highlight w:val="none"/>
        </w:rPr>
        <w:t>土地复垦投资应纳入工程总估算中；</w:t>
      </w:r>
    </w:p>
    <w:p>
      <w:pPr>
        <w:bidi w:val="0"/>
        <w:ind w:firstLine="560" w:firstLineChars="200"/>
        <w:rPr>
          <w:rFonts w:hint="default"/>
          <w:color w:val="auto"/>
          <w:highlight w:val="none"/>
        </w:rPr>
      </w:pPr>
      <w:r>
        <w:rPr>
          <w:rFonts w:hint="default"/>
          <w:color w:val="auto"/>
          <w:highlight w:val="none"/>
          <w:lang w:val="en-US" w:eastAsia="zh-CN"/>
        </w:rPr>
        <w:t>3、</w:t>
      </w:r>
      <w:r>
        <w:rPr>
          <w:rFonts w:hint="default"/>
          <w:color w:val="auto"/>
          <w:highlight w:val="none"/>
        </w:rPr>
        <w:t>高起点、高标准原则；</w:t>
      </w:r>
    </w:p>
    <w:p>
      <w:pPr>
        <w:bidi w:val="0"/>
        <w:ind w:firstLine="560" w:firstLineChars="200"/>
        <w:rPr>
          <w:rFonts w:hint="default"/>
          <w:color w:val="auto"/>
          <w:highlight w:val="none"/>
        </w:rPr>
      </w:pPr>
      <w:r>
        <w:rPr>
          <w:rFonts w:hint="default"/>
          <w:color w:val="auto"/>
          <w:highlight w:val="none"/>
          <w:lang w:val="en-US" w:eastAsia="zh-CN"/>
        </w:rPr>
        <w:t>4、</w:t>
      </w:r>
      <w:r>
        <w:rPr>
          <w:rFonts w:hint="default"/>
          <w:color w:val="auto"/>
          <w:highlight w:val="none"/>
        </w:rPr>
        <w:t>指导价与市场价相结合的原则；</w:t>
      </w:r>
    </w:p>
    <w:p>
      <w:pPr>
        <w:bidi w:val="0"/>
        <w:ind w:firstLine="560" w:firstLineChars="200"/>
        <w:rPr>
          <w:rFonts w:hint="default"/>
          <w:color w:val="auto"/>
          <w:highlight w:val="none"/>
        </w:rPr>
      </w:pPr>
      <w:r>
        <w:rPr>
          <w:rFonts w:hint="default"/>
          <w:color w:val="auto"/>
          <w:highlight w:val="none"/>
          <w:lang w:val="en-US" w:eastAsia="zh-CN"/>
        </w:rPr>
        <w:t>5、</w:t>
      </w:r>
      <w:r>
        <w:rPr>
          <w:rFonts w:hint="default"/>
          <w:color w:val="auto"/>
          <w:highlight w:val="none"/>
        </w:rPr>
        <w:t>科学、合理、高效的原则。</w:t>
      </w:r>
    </w:p>
    <w:p>
      <w:pPr>
        <w:pStyle w:val="3"/>
        <w:bidi w:val="0"/>
        <w:rPr>
          <w:rFonts w:hint="default"/>
          <w:color w:val="auto"/>
          <w:highlight w:val="none"/>
          <w:lang w:val="en-US" w:eastAsia="zh-CN"/>
        </w:rPr>
      </w:pPr>
      <w:bookmarkStart w:id="173" w:name="_Toc30770"/>
      <w:bookmarkStart w:id="174" w:name="_Toc1854"/>
      <w:bookmarkStart w:id="175" w:name="_Toc27706"/>
      <w:bookmarkStart w:id="176" w:name="_Toc30414"/>
      <w:bookmarkStart w:id="177" w:name="_Toc6418"/>
      <w:bookmarkStart w:id="178" w:name="_Toc199"/>
      <w:r>
        <w:rPr>
          <w:rFonts w:hint="default"/>
          <w:color w:val="auto"/>
          <w:highlight w:val="none"/>
          <w:lang w:val="en-US" w:eastAsia="zh-CN"/>
        </w:rPr>
        <w:t>6.2 投资估算依据</w:t>
      </w:r>
      <w:bookmarkEnd w:id="173"/>
      <w:bookmarkEnd w:id="174"/>
      <w:bookmarkEnd w:id="175"/>
      <w:bookmarkEnd w:id="176"/>
      <w:bookmarkEnd w:id="177"/>
      <w:bookmarkEnd w:id="178"/>
    </w:p>
    <w:p>
      <w:pPr>
        <w:bidi w:val="0"/>
        <w:ind w:firstLine="560" w:firstLineChars="200"/>
        <w:rPr>
          <w:rFonts w:hint="default"/>
          <w:color w:val="auto"/>
          <w:highlight w:val="none"/>
        </w:rPr>
      </w:pPr>
      <w:bookmarkStart w:id="179" w:name="_Toc308503343"/>
      <w:bookmarkStart w:id="180" w:name="_Toc308159272"/>
      <w:bookmarkStart w:id="181" w:name="_Toc164847618"/>
      <w:bookmarkStart w:id="182" w:name="_Toc218308853"/>
      <w:bookmarkStart w:id="183" w:name="_Toc136162939"/>
      <w:r>
        <w:rPr>
          <w:rFonts w:hint="default"/>
          <w:color w:val="auto"/>
          <w:highlight w:val="none"/>
          <w:lang w:val="en-US" w:eastAsia="zh-CN"/>
        </w:rPr>
        <w:t>1、</w:t>
      </w:r>
      <w:r>
        <w:rPr>
          <w:rFonts w:hint="default"/>
          <w:color w:val="auto"/>
          <w:highlight w:val="none"/>
        </w:rPr>
        <w:t>《财政部国土资源部关于印发土地开发整理项目预算定额标准的通知》（财综</w:t>
      </w:r>
      <w:r>
        <w:rPr>
          <w:rFonts w:hint="eastAsia"/>
          <w:color w:val="auto"/>
          <w:highlight w:val="none"/>
          <w:lang w:val="en-US" w:eastAsia="zh-CN"/>
        </w:rPr>
        <w:t>〔</w:t>
      </w:r>
      <w:r>
        <w:rPr>
          <w:rFonts w:hint="default"/>
          <w:color w:val="auto"/>
          <w:highlight w:val="none"/>
        </w:rPr>
        <w:t>2011</w:t>
      </w:r>
      <w:r>
        <w:rPr>
          <w:rFonts w:hint="eastAsia"/>
          <w:color w:val="auto"/>
          <w:highlight w:val="none"/>
          <w:lang w:val="en-US" w:eastAsia="zh-CN"/>
        </w:rPr>
        <w:t>〕</w:t>
      </w:r>
      <w:r>
        <w:rPr>
          <w:rFonts w:hint="default"/>
          <w:color w:val="auto"/>
          <w:highlight w:val="none"/>
        </w:rPr>
        <w:t>128号）；</w:t>
      </w:r>
    </w:p>
    <w:p>
      <w:pPr>
        <w:bidi w:val="0"/>
        <w:ind w:firstLine="560" w:firstLineChars="200"/>
        <w:rPr>
          <w:rFonts w:hint="default"/>
          <w:color w:val="auto"/>
          <w:highlight w:val="none"/>
        </w:rPr>
      </w:pPr>
      <w:r>
        <w:rPr>
          <w:rFonts w:hint="default"/>
          <w:color w:val="auto"/>
          <w:highlight w:val="none"/>
          <w:lang w:val="en-US" w:eastAsia="zh-CN"/>
        </w:rPr>
        <w:t>2、</w:t>
      </w:r>
      <w:r>
        <w:rPr>
          <w:rFonts w:hint="default"/>
          <w:color w:val="auto"/>
          <w:highlight w:val="none"/>
        </w:rPr>
        <w:t>《土地开发整理项目预算定额标准》（财综</w:t>
      </w:r>
      <w:r>
        <w:rPr>
          <w:rFonts w:hint="eastAsia"/>
          <w:color w:val="auto"/>
          <w:highlight w:val="none"/>
          <w:lang w:val="en-US" w:eastAsia="zh-CN"/>
        </w:rPr>
        <w:t>〔</w:t>
      </w:r>
      <w:r>
        <w:rPr>
          <w:rFonts w:hint="default"/>
          <w:color w:val="auto"/>
          <w:highlight w:val="none"/>
        </w:rPr>
        <w:t>20111</w:t>
      </w:r>
      <w:r>
        <w:rPr>
          <w:rFonts w:hint="eastAsia"/>
          <w:color w:val="auto"/>
          <w:highlight w:val="none"/>
          <w:lang w:val="en-US" w:eastAsia="zh-CN"/>
        </w:rPr>
        <w:t>〕</w:t>
      </w:r>
      <w:r>
        <w:rPr>
          <w:rFonts w:hint="default"/>
          <w:color w:val="auto"/>
          <w:highlight w:val="none"/>
        </w:rPr>
        <w:t>28号）；</w:t>
      </w:r>
    </w:p>
    <w:p>
      <w:pPr>
        <w:bidi w:val="0"/>
        <w:ind w:firstLine="560" w:firstLineChars="200"/>
        <w:rPr>
          <w:rFonts w:hint="default"/>
          <w:color w:val="auto"/>
          <w:highlight w:val="none"/>
        </w:rPr>
      </w:pPr>
      <w:r>
        <w:rPr>
          <w:rFonts w:hint="default"/>
          <w:color w:val="auto"/>
          <w:highlight w:val="none"/>
          <w:lang w:val="en-US" w:eastAsia="zh-CN"/>
        </w:rPr>
        <w:t>3、</w:t>
      </w:r>
      <w:r>
        <w:rPr>
          <w:rFonts w:hint="default"/>
          <w:color w:val="auto"/>
          <w:highlight w:val="none"/>
        </w:rPr>
        <w:t>《土地开发整理项目预算编制规定》（财综</w:t>
      </w:r>
      <w:r>
        <w:rPr>
          <w:rFonts w:hint="eastAsia"/>
          <w:color w:val="auto"/>
          <w:highlight w:val="none"/>
          <w:lang w:val="en-US" w:eastAsia="zh-CN"/>
        </w:rPr>
        <w:t>〔</w:t>
      </w:r>
      <w:r>
        <w:rPr>
          <w:rFonts w:hint="default"/>
          <w:color w:val="auto"/>
          <w:highlight w:val="none"/>
        </w:rPr>
        <w:t>2011</w:t>
      </w:r>
      <w:r>
        <w:rPr>
          <w:rFonts w:hint="eastAsia"/>
          <w:color w:val="auto"/>
          <w:highlight w:val="none"/>
          <w:lang w:val="en-US" w:eastAsia="zh-CN"/>
        </w:rPr>
        <w:t>〕</w:t>
      </w:r>
      <w:r>
        <w:rPr>
          <w:rFonts w:hint="default"/>
          <w:color w:val="auto"/>
          <w:highlight w:val="none"/>
        </w:rPr>
        <w:t>128号）；</w:t>
      </w:r>
    </w:p>
    <w:p>
      <w:pPr>
        <w:bidi w:val="0"/>
        <w:ind w:firstLine="560" w:firstLineChars="200"/>
        <w:rPr>
          <w:rFonts w:hint="eastAsia" w:eastAsia="仿宋"/>
          <w:color w:val="auto"/>
          <w:highlight w:val="none"/>
          <w:lang w:eastAsia="zh-CN"/>
        </w:rPr>
      </w:pPr>
      <w:r>
        <w:rPr>
          <w:rFonts w:hint="default"/>
          <w:color w:val="auto"/>
          <w:highlight w:val="none"/>
          <w:lang w:val="en-US" w:eastAsia="zh-CN"/>
        </w:rPr>
        <w:t>4、</w:t>
      </w:r>
      <w:r>
        <w:rPr>
          <w:rFonts w:hint="default"/>
          <w:color w:val="auto"/>
          <w:highlight w:val="none"/>
        </w:rPr>
        <w:t>《土地开发整理项目施工机械台班费定额》（财综</w:t>
      </w:r>
      <w:r>
        <w:rPr>
          <w:rFonts w:hint="eastAsia"/>
          <w:color w:val="auto"/>
          <w:highlight w:val="none"/>
          <w:lang w:val="en-US" w:eastAsia="zh-CN"/>
        </w:rPr>
        <w:t>〔</w:t>
      </w:r>
      <w:r>
        <w:rPr>
          <w:rFonts w:hint="default"/>
          <w:color w:val="auto"/>
          <w:highlight w:val="none"/>
        </w:rPr>
        <w:t>2011</w:t>
      </w:r>
      <w:r>
        <w:rPr>
          <w:rFonts w:hint="eastAsia"/>
          <w:color w:val="auto"/>
          <w:highlight w:val="none"/>
          <w:lang w:val="en-US" w:eastAsia="zh-CN"/>
        </w:rPr>
        <w:t>〕</w:t>
      </w:r>
      <w:r>
        <w:rPr>
          <w:rFonts w:hint="default"/>
          <w:color w:val="auto"/>
          <w:highlight w:val="none"/>
        </w:rPr>
        <w:t>128号）</w:t>
      </w:r>
      <w:r>
        <w:rPr>
          <w:rFonts w:hint="eastAsia"/>
          <w:color w:val="auto"/>
          <w:highlight w:val="none"/>
          <w:lang w:eastAsia="zh-CN"/>
        </w:rPr>
        <w:t>；</w:t>
      </w:r>
    </w:p>
    <w:p>
      <w:pPr>
        <w:bidi w:val="0"/>
        <w:ind w:firstLine="560" w:firstLineChars="200"/>
        <w:rPr>
          <w:rFonts w:hint="eastAsia"/>
          <w:color w:val="auto"/>
          <w:highlight w:val="none"/>
          <w:lang w:eastAsia="zh-CN"/>
        </w:rPr>
      </w:pPr>
      <w:r>
        <w:rPr>
          <w:rFonts w:hint="eastAsia"/>
          <w:color w:val="auto"/>
          <w:highlight w:val="none"/>
          <w:lang w:val="en-US" w:eastAsia="zh-CN"/>
        </w:rPr>
        <w:t>5、</w:t>
      </w:r>
      <w:r>
        <w:rPr>
          <w:rFonts w:hint="eastAsia"/>
          <w:color w:val="auto"/>
          <w:highlight w:val="none"/>
        </w:rPr>
        <w:t>《建设工程工程量清单计价规范》GB50500-2013 清价规范及其相关规定</w:t>
      </w:r>
      <w:r>
        <w:rPr>
          <w:rFonts w:hint="eastAsia"/>
          <w:color w:val="auto"/>
          <w:highlight w:val="none"/>
          <w:lang w:eastAsia="zh-CN"/>
        </w:rPr>
        <w:t>。</w:t>
      </w:r>
    </w:p>
    <w:bookmarkEnd w:id="179"/>
    <w:bookmarkEnd w:id="180"/>
    <w:p>
      <w:pPr>
        <w:pStyle w:val="3"/>
        <w:bidi w:val="0"/>
        <w:rPr>
          <w:rFonts w:hint="default"/>
          <w:color w:val="auto"/>
          <w:highlight w:val="none"/>
          <w:lang w:val="en-US" w:eastAsia="zh-CN"/>
        </w:rPr>
      </w:pPr>
      <w:bookmarkStart w:id="184" w:name="_Toc20767"/>
      <w:bookmarkStart w:id="185" w:name="_Toc1710"/>
      <w:bookmarkStart w:id="186" w:name="_Toc1875"/>
      <w:bookmarkStart w:id="187" w:name="_Toc32721"/>
      <w:bookmarkStart w:id="188" w:name="_Toc32595"/>
      <w:bookmarkStart w:id="189" w:name="_Toc9247"/>
      <w:r>
        <w:rPr>
          <w:rFonts w:hint="default"/>
          <w:color w:val="auto"/>
          <w:highlight w:val="none"/>
          <w:lang w:val="en-US" w:eastAsia="zh-CN"/>
        </w:rPr>
        <w:t>6.3 估算费用构成</w:t>
      </w:r>
      <w:bookmarkEnd w:id="181"/>
      <w:bookmarkEnd w:id="182"/>
      <w:bookmarkEnd w:id="183"/>
      <w:bookmarkEnd w:id="184"/>
      <w:bookmarkEnd w:id="185"/>
      <w:bookmarkEnd w:id="186"/>
      <w:bookmarkEnd w:id="187"/>
      <w:bookmarkEnd w:id="188"/>
      <w:bookmarkEnd w:id="189"/>
    </w:p>
    <w:p>
      <w:pPr>
        <w:bidi w:val="0"/>
        <w:ind w:firstLine="560" w:firstLineChars="200"/>
        <w:rPr>
          <w:rFonts w:hint="default"/>
          <w:color w:val="auto"/>
          <w:highlight w:val="none"/>
          <w:lang w:val="en-US" w:eastAsia="zh-CN"/>
        </w:rPr>
      </w:pPr>
      <w:r>
        <w:rPr>
          <w:rFonts w:hint="eastAsia" w:ascii="仿宋" w:hAnsi="仿宋" w:eastAsia="仿宋" w:cs="仿宋"/>
          <w:kern w:val="0"/>
          <w:sz w:val="28"/>
          <w:szCs w:val="28"/>
          <w:highlight w:val="none"/>
          <w:lang w:val="en-US" w:eastAsia="zh-CN" w:bidi="ar-SA"/>
        </w:rPr>
        <w:t>根据</w:t>
      </w:r>
      <w:r>
        <w:rPr>
          <w:rFonts w:hint="eastAsia"/>
          <w:color w:val="auto"/>
          <w:highlight w:val="none"/>
        </w:rPr>
        <w:t>《建设工程工程量清单计价规范》GB50500-2013清价规范及其相关规定</w:t>
      </w:r>
      <w:r>
        <w:rPr>
          <w:rFonts w:hint="eastAsia" w:ascii="仿宋" w:hAnsi="仿宋" w:eastAsia="仿宋" w:cs="仿宋"/>
          <w:kern w:val="0"/>
          <w:sz w:val="28"/>
          <w:szCs w:val="28"/>
          <w:highlight w:val="none"/>
          <w:lang w:val="en-US" w:eastAsia="zh-CN" w:bidi="ar-SA"/>
        </w:rPr>
        <w:t>、《土地开发整理项目预算定额标准》（财综〔2011〕128号）等估算依据中的估算工程量进行估算，本项目工程施工费估算总投资为</w:t>
      </w:r>
      <w:r>
        <w:rPr>
          <w:rFonts w:hint="default"/>
          <w:lang w:val="en-US" w:eastAsia="zh-CN"/>
        </w:rPr>
        <w:t>556.29</w:t>
      </w:r>
      <w:r>
        <w:rPr>
          <w:rFonts w:hint="eastAsia" w:ascii="仿宋" w:hAnsi="仿宋" w:eastAsia="仿宋" w:cs="仿宋"/>
          <w:kern w:val="0"/>
          <w:sz w:val="28"/>
          <w:szCs w:val="28"/>
          <w:highlight w:val="none"/>
          <w:lang w:val="en-US" w:eastAsia="zh-CN" w:bidi="ar-SA"/>
        </w:rPr>
        <w:t>万元，根据上述其他费用及不可预见费测算标准，估算本项目其他费用为</w:t>
      </w:r>
      <w:r>
        <w:rPr>
          <w:rFonts w:hint="default"/>
          <w:lang w:val="en-US" w:eastAsia="zh-CN"/>
        </w:rPr>
        <w:t>12.35</w:t>
      </w:r>
      <w:r>
        <w:rPr>
          <w:rFonts w:hint="eastAsia" w:ascii="仿宋" w:hAnsi="仿宋" w:eastAsia="仿宋" w:cs="仿宋"/>
          <w:kern w:val="0"/>
          <w:sz w:val="28"/>
          <w:szCs w:val="28"/>
          <w:highlight w:val="none"/>
          <w:lang w:val="en-US" w:eastAsia="zh-CN" w:bidi="ar-SA"/>
        </w:rPr>
        <w:t>万元，不可预见费为</w:t>
      </w:r>
      <w:r>
        <w:rPr>
          <w:rFonts w:hint="default"/>
          <w:lang w:val="en-US" w:eastAsia="zh-CN"/>
        </w:rPr>
        <w:t>18.</w:t>
      </w:r>
      <w:r>
        <w:rPr>
          <w:rFonts w:hint="eastAsia"/>
          <w:lang w:val="en-US" w:eastAsia="zh-CN"/>
        </w:rPr>
        <w:t>90</w:t>
      </w:r>
      <w:r>
        <w:rPr>
          <w:rFonts w:hint="eastAsia" w:ascii="仿宋" w:hAnsi="仿宋" w:eastAsia="仿宋" w:cs="仿宋"/>
          <w:kern w:val="0"/>
          <w:sz w:val="28"/>
          <w:szCs w:val="28"/>
          <w:highlight w:val="none"/>
          <w:lang w:val="en-US" w:eastAsia="zh-CN" w:bidi="ar-SA"/>
        </w:rPr>
        <w:t>万元，</w:t>
      </w:r>
      <w:r>
        <w:rPr>
          <w:rFonts w:hint="default" w:ascii="仿宋" w:hAnsi="仿宋" w:eastAsia="仿宋" w:cs="仿宋"/>
          <w:kern w:val="0"/>
          <w:sz w:val="28"/>
          <w:szCs w:val="28"/>
          <w:highlight w:val="none"/>
          <w:lang w:val="en-US" w:eastAsia="zh-CN" w:bidi="ar-SA"/>
        </w:rPr>
        <w:t>后期管护费</w:t>
      </w:r>
      <w:r>
        <w:rPr>
          <w:rFonts w:hint="eastAsia" w:ascii="仿宋" w:hAnsi="仿宋" w:eastAsia="仿宋" w:cs="仿宋"/>
          <w:kern w:val="0"/>
          <w:sz w:val="28"/>
          <w:szCs w:val="28"/>
          <w:highlight w:val="none"/>
          <w:lang w:val="en-US" w:eastAsia="zh-CN" w:bidi="ar-SA"/>
        </w:rPr>
        <w:t>为</w:t>
      </w:r>
      <w:r>
        <w:rPr>
          <w:rFonts w:hint="default"/>
          <w:lang w:val="en-US" w:eastAsia="zh-CN"/>
        </w:rPr>
        <w:t>27</w:t>
      </w:r>
      <w:r>
        <w:rPr>
          <w:rFonts w:hint="eastAsia" w:ascii="仿宋" w:hAnsi="仿宋" w:eastAsia="仿宋" w:cs="仿宋"/>
          <w:kern w:val="0"/>
          <w:sz w:val="28"/>
          <w:szCs w:val="28"/>
          <w:highlight w:val="none"/>
          <w:lang w:val="en-US" w:eastAsia="zh-CN" w:bidi="ar-SA"/>
        </w:rPr>
        <w:t>万元</w:t>
      </w:r>
      <w:r>
        <w:rPr>
          <w:rFonts w:hint="eastAsia" w:ascii="仿宋" w:hAnsi="仿宋" w:cs="仿宋"/>
          <w:kern w:val="0"/>
          <w:sz w:val="28"/>
          <w:szCs w:val="28"/>
          <w:highlight w:val="none"/>
          <w:lang w:val="en-US" w:eastAsia="zh-CN" w:bidi="ar-SA"/>
        </w:rPr>
        <w:t>，共计</w:t>
      </w:r>
      <w:r>
        <w:rPr>
          <w:rFonts w:hint="default"/>
          <w:lang w:val="en-US" w:eastAsia="zh-CN"/>
        </w:rPr>
        <w:t>614.54</w:t>
      </w:r>
      <w:r>
        <w:rPr>
          <w:rFonts w:hint="eastAsia" w:ascii="仿宋" w:hAnsi="仿宋" w:cs="仿宋"/>
          <w:kern w:val="0"/>
          <w:sz w:val="28"/>
          <w:szCs w:val="28"/>
          <w:highlight w:val="none"/>
          <w:lang w:val="en-US" w:eastAsia="zh-CN" w:bidi="ar-SA"/>
        </w:rPr>
        <w:t>万元。亩均投资1.34万元/亩，实际费用以复垦设计为准。</w:t>
      </w:r>
    </w:p>
    <w:p>
      <w:pPr>
        <w:spacing w:line="240" w:lineRule="auto"/>
        <w:jc w:val="center"/>
        <w:rPr>
          <w:rStyle w:val="91"/>
          <w:rFonts w:hint="eastAsia" w:cs="Times New Roman"/>
          <w:color w:val="auto"/>
          <w:highlight w:val="none"/>
          <w:lang w:val="en-US" w:eastAsia="zh-CN"/>
        </w:rPr>
      </w:pPr>
    </w:p>
    <w:p>
      <w:pPr>
        <w:spacing w:line="240" w:lineRule="auto"/>
        <w:jc w:val="center"/>
        <w:rPr>
          <w:rStyle w:val="91"/>
          <w:rFonts w:hint="eastAsia"/>
          <w:color w:val="auto"/>
          <w:highlight w:val="none"/>
          <w:lang w:val="en-US" w:eastAsia="zh-CN"/>
        </w:rPr>
      </w:pPr>
      <w:r>
        <w:rPr>
          <w:rStyle w:val="91"/>
          <w:rFonts w:hint="eastAsia" w:cs="Times New Roman"/>
          <w:color w:val="auto"/>
          <w:highlight w:val="none"/>
          <w:lang w:val="en-US" w:eastAsia="zh-CN"/>
        </w:rPr>
        <w:t xml:space="preserve">表6-2  </w:t>
      </w:r>
      <w:r>
        <w:rPr>
          <w:rStyle w:val="91"/>
          <w:rFonts w:hint="eastAsia"/>
          <w:color w:val="auto"/>
          <w:highlight w:val="none"/>
          <w:lang w:val="en-US" w:eastAsia="zh-CN"/>
        </w:rPr>
        <w:t>总估算表</w:t>
      </w:r>
    </w:p>
    <w:p>
      <w:pPr>
        <w:spacing w:line="240" w:lineRule="auto"/>
        <w:ind w:firstLine="421" w:firstLineChars="200"/>
        <w:jc w:val="right"/>
        <w:rPr>
          <w:rFonts w:hint="default" w:ascii="Times New Roman" w:hAnsi="Times New Roman" w:eastAsia="仿宋_GB2312" w:cs="Times New Roman"/>
          <w:b/>
          <w:bCs/>
          <w:color w:val="auto"/>
          <w:kern w:val="0"/>
          <w:sz w:val="24"/>
          <w:szCs w:val="24"/>
          <w:highlight w:val="none"/>
          <w:lang w:val="en-US" w:eastAsia="zh-CN"/>
        </w:rPr>
      </w:pPr>
      <w:r>
        <w:rPr>
          <w:rFonts w:hint="eastAsia" w:ascii="Times New Roman" w:hAnsi="Times New Roman" w:eastAsia="仿宋_GB2312" w:cs="Times New Roman"/>
          <w:b/>
          <w:bCs/>
          <w:color w:val="auto"/>
          <w:kern w:val="0"/>
          <w:sz w:val="21"/>
          <w:szCs w:val="21"/>
          <w:highlight w:val="none"/>
          <w:lang w:val="en-US" w:eastAsia="zh-CN"/>
        </w:rPr>
        <w:t>单位：万元</w:t>
      </w:r>
    </w:p>
    <w:bookmarkEnd w:id="169"/>
    <w:bookmarkEnd w:id="170"/>
    <w:bookmarkEnd w:id="171"/>
    <w:tbl>
      <w:tblPr>
        <w:tblStyle w:val="2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8"/>
        <w:gridCol w:w="2616"/>
        <w:gridCol w:w="1903"/>
        <w:gridCol w:w="33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37"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b/>
                <w:bCs/>
              </w:rPr>
            </w:pPr>
            <w:bookmarkStart w:id="190" w:name="_Toc23530"/>
            <w:bookmarkStart w:id="191" w:name="_Toc14030"/>
            <w:bookmarkStart w:id="192" w:name="_Toc13032"/>
            <w:r>
              <w:rPr>
                <w:rFonts w:hint="eastAsia"/>
                <w:b/>
                <w:bCs/>
                <w:lang w:val="en-US" w:eastAsia="zh-CN"/>
              </w:rPr>
              <w:t>序号</w:t>
            </w:r>
          </w:p>
        </w:tc>
        <w:tc>
          <w:tcPr>
            <w:tcW w:w="154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工程或费用名称</w:t>
            </w:r>
          </w:p>
        </w:tc>
        <w:tc>
          <w:tcPr>
            <w:tcW w:w="112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预算金额（万元）</w:t>
            </w:r>
          </w:p>
        </w:tc>
        <w:tc>
          <w:tcPr>
            <w:tcW w:w="198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r>
              <w:rPr>
                <w:rFonts w:hint="eastAsia"/>
                <w:b/>
                <w:bCs/>
                <w:lang w:val="en-US" w:eastAsia="zh-CN"/>
              </w:rPr>
              <w:t>各费用占总费用的比例（</w:t>
            </w:r>
            <w:r>
              <w:rPr>
                <w:rFonts w:hint="default"/>
                <w:b/>
                <w:bCs/>
                <w:lang w:val="en-US" w:eastAsia="zh-CN"/>
              </w:rPr>
              <w:t>%</w:t>
            </w:r>
            <w:r>
              <w:rPr>
                <w:rFonts w:hint="eastAsia"/>
                <w:b/>
                <w:bCs/>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3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b/>
                <w:bCs/>
              </w:rPr>
            </w:pPr>
          </w:p>
        </w:tc>
        <w:tc>
          <w:tcPr>
            <w:tcW w:w="1548"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b/>
                <w:bCs/>
              </w:rPr>
            </w:pPr>
            <w:r>
              <w:rPr>
                <w:rFonts w:hint="default"/>
                <w:b/>
                <w:bCs/>
                <w:lang w:val="en-US" w:eastAsia="zh-CN"/>
              </w:rPr>
              <w:t>-1</w:t>
            </w:r>
          </w:p>
        </w:tc>
        <w:tc>
          <w:tcPr>
            <w:tcW w:w="1128"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b/>
                <w:bCs/>
              </w:rPr>
            </w:pPr>
            <w:r>
              <w:rPr>
                <w:rFonts w:hint="default"/>
                <w:b/>
                <w:bCs/>
                <w:lang w:val="en-US" w:eastAsia="zh-CN"/>
              </w:rPr>
              <w:t>-2</w:t>
            </w:r>
          </w:p>
        </w:tc>
        <w:tc>
          <w:tcPr>
            <w:tcW w:w="1985"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b/>
                <w:bCs/>
              </w:rPr>
            </w:pPr>
            <w:r>
              <w:rPr>
                <w:rFonts w:hint="default"/>
                <w:b/>
                <w:bCs/>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37"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一</w:t>
            </w:r>
          </w:p>
        </w:tc>
        <w:tc>
          <w:tcPr>
            <w:tcW w:w="1548"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工程施工费</w:t>
            </w:r>
          </w:p>
        </w:tc>
        <w:tc>
          <w:tcPr>
            <w:tcW w:w="1128"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556.29 </w:t>
            </w:r>
          </w:p>
        </w:tc>
        <w:tc>
          <w:tcPr>
            <w:tcW w:w="1985"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90.52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37"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二</w:t>
            </w:r>
          </w:p>
        </w:tc>
        <w:tc>
          <w:tcPr>
            <w:tcW w:w="1548"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设备购置费</w:t>
            </w:r>
          </w:p>
        </w:tc>
        <w:tc>
          <w:tcPr>
            <w:tcW w:w="1128"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0</w:t>
            </w:r>
          </w:p>
        </w:tc>
        <w:tc>
          <w:tcPr>
            <w:tcW w:w="1985"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37"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三</w:t>
            </w:r>
          </w:p>
        </w:tc>
        <w:tc>
          <w:tcPr>
            <w:tcW w:w="1548"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其他费用</w:t>
            </w:r>
          </w:p>
        </w:tc>
        <w:tc>
          <w:tcPr>
            <w:tcW w:w="1128"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12.35</w:t>
            </w:r>
          </w:p>
        </w:tc>
        <w:tc>
          <w:tcPr>
            <w:tcW w:w="1985"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2.01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37"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四</w:t>
            </w:r>
          </w:p>
        </w:tc>
        <w:tc>
          <w:tcPr>
            <w:tcW w:w="1548"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不可预见费</w:t>
            </w:r>
          </w:p>
        </w:tc>
        <w:tc>
          <w:tcPr>
            <w:tcW w:w="1128"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lang w:val="en-US"/>
              </w:rPr>
            </w:pPr>
            <w:r>
              <w:rPr>
                <w:rFonts w:hint="default"/>
                <w:lang w:val="en-US" w:eastAsia="zh-CN"/>
              </w:rPr>
              <w:t>18.</w:t>
            </w:r>
            <w:r>
              <w:rPr>
                <w:rFonts w:hint="eastAsia"/>
                <w:lang w:val="en-US" w:eastAsia="zh-CN"/>
              </w:rPr>
              <w:t>90</w:t>
            </w:r>
          </w:p>
        </w:tc>
        <w:tc>
          <w:tcPr>
            <w:tcW w:w="1985"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3.08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37"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五</w:t>
            </w:r>
          </w:p>
        </w:tc>
        <w:tc>
          <w:tcPr>
            <w:tcW w:w="1548"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监测管护费</w:t>
            </w:r>
          </w:p>
        </w:tc>
        <w:tc>
          <w:tcPr>
            <w:tcW w:w="1128"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27</w:t>
            </w:r>
          </w:p>
        </w:tc>
        <w:tc>
          <w:tcPr>
            <w:tcW w:w="1985"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4.39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37"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六</w:t>
            </w:r>
          </w:p>
        </w:tc>
        <w:tc>
          <w:tcPr>
            <w:tcW w:w="1548"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安置补偿费</w:t>
            </w:r>
          </w:p>
        </w:tc>
        <w:tc>
          <w:tcPr>
            <w:tcW w:w="1128"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0</w:t>
            </w:r>
          </w:p>
        </w:tc>
        <w:tc>
          <w:tcPr>
            <w:tcW w:w="1985"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886" w:type="pct"/>
            <w:gridSpan w:val="2"/>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 xml:space="preserve">总 </w:t>
            </w:r>
            <w:r>
              <w:rPr>
                <w:rFonts w:hint="default"/>
                <w:lang w:val="en-US" w:eastAsia="zh-CN"/>
              </w:rPr>
              <w:t xml:space="preserve">   </w:t>
            </w:r>
            <w:r>
              <w:rPr>
                <w:rFonts w:hint="eastAsia"/>
                <w:lang w:val="en-US" w:eastAsia="zh-CN"/>
              </w:rPr>
              <w:t>计</w:t>
            </w:r>
          </w:p>
        </w:tc>
        <w:tc>
          <w:tcPr>
            <w:tcW w:w="1128"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614.54 </w:t>
            </w:r>
          </w:p>
        </w:tc>
        <w:tc>
          <w:tcPr>
            <w:tcW w:w="1985"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eastAsia"/>
                <w:lang w:val="en-US" w:eastAsia="zh-CN"/>
              </w:rPr>
              <w:t>100.00</w:t>
            </w:r>
            <w:r>
              <w:rPr>
                <w:rFonts w:hint="default"/>
                <w:lang w:val="en-US" w:eastAsia="zh-CN"/>
              </w:rPr>
              <w:t xml:space="preserve"> </w:t>
            </w:r>
          </w:p>
        </w:tc>
      </w:tr>
    </w:tbl>
    <w:p>
      <w:pPr>
        <w:pStyle w:val="3"/>
        <w:bidi w:val="0"/>
        <w:rPr>
          <w:color w:val="auto"/>
          <w:highlight w:val="none"/>
        </w:rPr>
      </w:pPr>
      <w:r>
        <w:rPr>
          <w:color w:val="auto"/>
          <w:highlight w:val="none"/>
        </w:rPr>
        <w:t>6.</w:t>
      </w:r>
      <w:r>
        <w:rPr>
          <w:rFonts w:hint="eastAsia"/>
          <w:color w:val="auto"/>
          <w:highlight w:val="none"/>
          <w:lang w:val="en-US" w:eastAsia="zh-CN"/>
        </w:rPr>
        <w:t>4</w:t>
      </w:r>
      <w:r>
        <w:rPr>
          <w:color w:val="auto"/>
          <w:highlight w:val="none"/>
        </w:rPr>
        <w:t xml:space="preserve"> 资金筹措途径</w:t>
      </w:r>
      <w:bookmarkEnd w:id="190"/>
      <w:bookmarkEnd w:id="191"/>
      <w:bookmarkEnd w:id="192"/>
    </w:p>
    <w:p>
      <w:pPr>
        <w:pStyle w:val="11"/>
        <w:rPr>
          <w:rFonts w:hint="default"/>
          <w:highlight w:val="none"/>
          <w:lang w:val="zh-CN" w:eastAsia="zh-CN"/>
        </w:rPr>
      </w:pPr>
      <w:bookmarkStart w:id="193" w:name="_Toc3741"/>
      <w:bookmarkStart w:id="194" w:name="_Toc8734"/>
      <w:r>
        <w:rPr>
          <w:rFonts w:hint="eastAsia"/>
          <w:color w:val="auto"/>
          <w:highlight w:val="none"/>
          <w:lang w:val="en-US" w:eastAsia="zh-CN"/>
        </w:rPr>
        <w:t>和林格尔县</w:t>
      </w:r>
      <w:r>
        <w:rPr>
          <w:rFonts w:hint="default"/>
          <w:color w:val="auto"/>
          <w:highlight w:val="none"/>
          <w:lang w:val="en-US" w:eastAsia="zh-CN"/>
        </w:rPr>
        <w:t>202</w:t>
      </w:r>
      <w:r>
        <w:rPr>
          <w:rFonts w:hint="eastAsia"/>
          <w:color w:val="auto"/>
          <w:highlight w:val="none"/>
          <w:lang w:val="en-US" w:eastAsia="zh-CN"/>
        </w:rPr>
        <w:t>5</w:t>
      </w:r>
      <w:r>
        <w:rPr>
          <w:rFonts w:hint="default"/>
          <w:color w:val="auto"/>
          <w:highlight w:val="none"/>
          <w:lang w:val="en-US" w:eastAsia="zh-CN"/>
        </w:rPr>
        <w:t>年</w:t>
      </w:r>
      <w:r>
        <w:rPr>
          <w:color w:val="auto"/>
          <w:highlight w:val="none"/>
        </w:rPr>
        <w:t>城乡建设用地增减挂钩项目</w:t>
      </w:r>
      <w:r>
        <w:rPr>
          <w:rFonts w:hint="eastAsia"/>
          <w:color w:val="auto"/>
          <w:highlight w:val="none"/>
          <w:lang w:val="en-US" w:eastAsia="zh-CN"/>
        </w:rPr>
        <w:t>拆旧拆旧复垦与补偿</w:t>
      </w:r>
      <w:r>
        <w:rPr>
          <w:color w:val="auto"/>
          <w:highlight w:val="none"/>
        </w:rPr>
        <w:t>资金全部由</w:t>
      </w:r>
      <w:r>
        <w:rPr>
          <w:rFonts w:hint="default"/>
          <w:color w:val="auto"/>
          <w:highlight w:val="none"/>
          <w:lang w:eastAsia="zh-CN"/>
        </w:rPr>
        <w:t>呼和浩特城市交通投资建设集团有限公司</w:t>
      </w:r>
      <w:r>
        <w:rPr>
          <w:rFonts w:hint="default"/>
          <w:color w:val="auto"/>
          <w:highlight w:val="none"/>
          <w:lang w:val="en-US" w:eastAsia="zh-CN"/>
        </w:rPr>
        <w:t>投资</w:t>
      </w:r>
      <w:r>
        <w:rPr>
          <w:color w:val="auto"/>
          <w:highlight w:val="none"/>
        </w:rPr>
        <w:t>。</w:t>
      </w:r>
      <w:r>
        <w:rPr>
          <w:rFonts w:hint="eastAsia"/>
          <w:highlight w:val="none"/>
          <w:lang w:val="en-US" w:eastAsia="zh-CN"/>
        </w:rPr>
        <w:t>呼和浩特城市交通投资建设集团有限公司</w:t>
      </w:r>
      <w:r>
        <w:rPr>
          <w:rFonts w:hint="default"/>
          <w:highlight w:val="none"/>
          <w:lang w:val="zh-CN" w:eastAsia="zh-CN"/>
        </w:rPr>
        <w:t>也出具了承诺函，在</w:t>
      </w:r>
      <w:r>
        <w:rPr>
          <w:rFonts w:hint="default"/>
          <w:highlight w:val="none"/>
          <w:lang w:val="en-US" w:eastAsia="zh-CN"/>
        </w:rPr>
        <w:t>202</w:t>
      </w:r>
      <w:r>
        <w:rPr>
          <w:rFonts w:hint="eastAsia"/>
          <w:highlight w:val="none"/>
          <w:lang w:val="en-US" w:eastAsia="zh-CN"/>
        </w:rPr>
        <w:t>5</w:t>
      </w:r>
      <w:r>
        <w:rPr>
          <w:rFonts w:hint="default"/>
          <w:highlight w:val="none"/>
          <w:lang w:val="en-US" w:eastAsia="zh-CN"/>
        </w:rPr>
        <w:t>年完成拆旧区的拆迁</w:t>
      </w:r>
      <w:r>
        <w:rPr>
          <w:rFonts w:hint="eastAsia"/>
          <w:highlight w:val="none"/>
          <w:lang w:val="en-US" w:eastAsia="zh-CN"/>
        </w:rPr>
        <w:t>工作</w:t>
      </w:r>
      <w:r>
        <w:rPr>
          <w:rFonts w:hint="default"/>
          <w:highlight w:val="none"/>
          <w:lang w:val="en-US" w:eastAsia="zh-CN"/>
        </w:rPr>
        <w:t>，</w:t>
      </w:r>
      <w:r>
        <w:rPr>
          <w:rFonts w:hint="eastAsia"/>
          <w:highlight w:val="none"/>
          <w:lang w:val="en-US" w:eastAsia="zh-CN"/>
        </w:rPr>
        <w:t>2026年完成土地的复垦工作。</w:t>
      </w:r>
      <w:r>
        <w:rPr>
          <w:rFonts w:hint="default"/>
          <w:highlight w:val="none"/>
          <w:lang w:val="en-US" w:eastAsia="zh-CN"/>
        </w:rPr>
        <w:t>确保资金到位，复垦目标为耕地，质量到达相关要求</w:t>
      </w:r>
      <w:r>
        <w:rPr>
          <w:rFonts w:hint="eastAsia"/>
          <w:highlight w:val="none"/>
          <w:lang w:val="en-US" w:eastAsia="zh-CN"/>
        </w:rPr>
        <w:t>。</w:t>
      </w:r>
      <w:r>
        <w:rPr>
          <w:rFonts w:hint="default"/>
          <w:highlight w:val="none"/>
          <w:lang w:val="en-US" w:eastAsia="zh-CN"/>
        </w:rPr>
        <w:t>在202</w:t>
      </w:r>
      <w:r>
        <w:rPr>
          <w:rFonts w:hint="eastAsia"/>
          <w:highlight w:val="none"/>
          <w:lang w:val="en-US" w:eastAsia="zh-CN"/>
        </w:rPr>
        <w:t>6</w:t>
      </w:r>
      <w:r>
        <w:rPr>
          <w:rFonts w:hint="default"/>
          <w:highlight w:val="none"/>
          <w:lang w:val="en-US" w:eastAsia="zh-CN"/>
        </w:rPr>
        <w:t>年</w:t>
      </w:r>
      <w:r>
        <w:rPr>
          <w:rFonts w:hint="eastAsia"/>
          <w:highlight w:val="none"/>
          <w:lang w:val="en-US" w:eastAsia="zh-CN"/>
        </w:rPr>
        <w:t>8</w:t>
      </w:r>
      <w:r>
        <w:rPr>
          <w:rFonts w:hint="default"/>
          <w:highlight w:val="none"/>
          <w:lang w:val="en-US" w:eastAsia="zh-CN"/>
        </w:rPr>
        <w:t>月底之前完成项目的验收备案工作</w:t>
      </w:r>
      <w:r>
        <w:rPr>
          <w:rFonts w:hint="default"/>
          <w:highlight w:val="none"/>
          <w:lang w:val="zh-CN" w:eastAsia="zh-CN"/>
        </w:rPr>
        <w:t>。</w:t>
      </w:r>
    </w:p>
    <w:p>
      <w:pPr>
        <w:pStyle w:val="3"/>
        <w:bidi w:val="0"/>
        <w:rPr>
          <w:color w:val="auto"/>
          <w:highlight w:val="none"/>
        </w:rPr>
      </w:pPr>
      <w:bookmarkStart w:id="195" w:name="_Toc16537"/>
      <w:bookmarkStart w:id="196" w:name="_Toc20918"/>
      <w:bookmarkStart w:id="197" w:name="_Toc3754"/>
      <w:r>
        <w:rPr>
          <w:color w:val="auto"/>
          <w:highlight w:val="none"/>
        </w:rPr>
        <w:t>6.</w:t>
      </w:r>
      <w:r>
        <w:rPr>
          <w:rFonts w:hint="eastAsia"/>
          <w:color w:val="auto"/>
          <w:highlight w:val="none"/>
          <w:lang w:val="en-US" w:eastAsia="zh-CN"/>
        </w:rPr>
        <w:t>5</w:t>
      </w:r>
      <w:r>
        <w:rPr>
          <w:color w:val="auto"/>
          <w:highlight w:val="none"/>
        </w:rPr>
        <w:t xml:space="preserve"> 资金保障措施</w:t>
      </w:r>
      <w:bookmarkEnd w:id="193"/>
      <w:bookmarkEnd w:id="194"/>
      <w:bookmarkEnd w:id="195"/>
      <w:bookmarkEnd w:id="196"/>
      <w:bookmarkEnd w:id="197"/>
    </w:p>
    <w:p>
      <w:pPr>
        <w:bidi w:val="0"/>
        <w:ind w:firstLine="560" w:firstLineChars="200"/>
        <w:rPr>
          <w:color w:val="auto"/>
          <w:highlight w:val="none"/>
          <w:lang w:val="zh-CN"/>
        </w:rPr>
      </w:pPr>
      <w:r>
        <w:rPr>
          <w:color w:val="auto"/>
          <w:highlight w:val="none"/>
          <w:lang w:val="zh-CN"/>
        </w:rPr>
        <w:t>在资金管理上要做到专款专用，建立健全和规范的财务管理制度按工程进度监督项目资金使用，严格加强财务收支管理，对弄虚作假、截留、挪用和挤占项目资金的，将采取停止拨款、限期整改和追回拨款等措施，确保项目资金专款专用。</w:t>
      </w:r>
    </w:p>
    <w:p>
      <w:pPr>
        <w:pStyle w:val="2"/>
        <w:numPr>
          <w:ilvl w:val="0"/>
          <w:numId w:val="0"/>
        </w:numPr>
        <w:bidi w:val="0"/>
        <w:ind w:left="0" w:leftChars="0" w:firstLine="722" w:firstLineChars="200"/>
        <w:rPr>
          <w:rFonts w:ascii="Times New Roman" w:hAnsi="Times New Roman" w:cs="Times New Roman"/>
          <w:color w:val="auto"/>
          <w:highlight w:val="none"/>
        </w:rPr>
      </w:pPr>
      <w:bookmarkStart w:id="198" w:name="_Toc5939"/>
      <w:bookmarkStart w:id="199" w:name="_Toc15887"/>
      <w:r>
        <w:rPr>
          <w:rFonts w:hint="eastAsia" w:ascii="Times New Roman" w:hAnsi="Times New Roman" w:eastAsia="仿宋" w:cs="Times New Roman"/>
          <w:b/>
          <w:bCs/>
          <w:color w:val="auto"/>
          <w:kern w:val="44"/>
          <w:sz w:val="36"/>
          <w:szCs w:val="44"/>
          <w:highlight w:val="none"/>
          <w:lang w:val="en-US" w:eastAsia="zh-CN" w:bidi="ar-SA"/>
        </w:rPr>
        <w:br w:type="page"/>
      </w:r>
      <w:bookmarkStart w:id="200" w:name="_Toc24773"/>
      <w:r>
        <w:rPr>
          <w:rFonts w:hint="eastAsia" w:ascii="Times New Roman" w:hAnsi="Times New Roman" w:eastAsia="仿宋" w:cs="Times New Roman"/>
          <w:b/>
          <w:bCs/>
          <w:color w:val="auto"/>
          <w:kern w:val="44"/>
          <w:sz w:val="36"/>
          <w:szCs w:val="44"/>
          <w:highlight w:val="none"/>
          <w:lang w:val="en-US" w:eastAsia="zh-CN" w:bidi="ar-SA"/>
        </w:rPr>
        <w:t>第</w:t>
      </w:r>
      <w:r>
        <w:rPr>
          <w:rFonts w:hint="eastAsia" w:ascii="Times New Roman" w:hAnsi="Times New Roman" w:cs="Times New Roman"/>
          <w:b/>
          <w:bCs/>
          <w:color w:val="auto"/>
          <w:kern w:val="44"/>
          <w:sz w:val="36"/>
          <w:szCs w:val="44"/>
          <w:highlight w:val="none"/>
          <w:lang w:val="en-US" w:eastAsia="zh-CN" w:bidi="ar-SA"/>
        </w:rPr>
        <w:t>七</w:t>
      </w:r>
      <w:r>
        <w:rPr>
          <w:rFonts w:hint="eastAsia" w:ascii="Times New Roman" w:hAnsi="Times New Roman" w:eastAsia="仿宋" w:cs="Times New Roman"/>
          <w:b/>
          <w:bCs/>
          <w:color w:val="auto"/>
          <w:kern w:val="44"/>
          <w:sz w:val="36"/>
          <w:szCs w:val="44"/>
          <w:highlight w:val="none"/>
          <w:lang w:val="en-US" w:eastAsia="zh-CN" w:bidi="ar-SA"/>
        </w:rPr>
        <w:t>章</w:t>
      </w:r>
      <w:bookmarkStart w:id="201" w:name="_Toc19169"/>
      <w:r>
        <w:rPr>
          <w:rFonts w:ascii="Times New Roman" w:hAnsi="Times New Roman" w:cs="Times New Roman"/>
          <w:color w:val="auto"/>
          <w:highlight w:val="none"/>
        </w:rPr>
        <w:t>项目实施评价与效益分析</w:t>
      </w:r>
      <w:bookmarkEnd w:id="198"/>
      <w:bookmarkEnd w:id="199"/>
      <w:bookmarkEnd w:id="200"/>
      <w:bookmarkEnd w:id="201"/>
    </w:p>
    <w:p>
      <w:pPr>
        <w:pStyle w:val="3"/>
        <w:bidi w:val="0"/>
        <w:rPr>
          <w:color w:val="auto"/>
          <w:highlight w:val="none"/>
        </w:rPr>
      </w:pPr>
      <w:bookmarkStart w:id="202" w:name="_Toc27778"/>
      <w:bookmarkStart w:id="203" w:name="_Toc160511719"/>
      <w:bookmarkStart w:id="204" w:name="_Toc241842789"/>
      <w:bookmarkStart w:id="205" w:name="_Toc3410"/>
      <w:bookmarkStart w:id="206" w:name="_Toc12147"/>
      <w:bookmarkStart w:id="207" w:name="_Toc183011782"/>
      <w:r>
        <w:rPr>
          <w:color w:val="auto"/>
          <w:highlight w:val="none"/>
        </w:rPr>
        <w:t>7.1 项目实施方案评价</w:t>
      </w:r>
      <w:bookmarkEnd w:id="202"/>
      <w:bookmarkEnd w:id="203"/>
      <w:bookmarkEnd w:id="204"/>
      <w:bookmarkEnd w:id="205"/>
      <w:bookmarkEnd w:id="206"/>
      <w:bookmarkEnd w:id="207"/>
    </w:p>
    <w:p>
      <w:pPr>
        <w:bidi w:val="0"/>
        <w:ind w:firstLine="560" w:firstLineChars="200"/>
        <w:rPr>
          <w:rFonts w:hint="eastAsia"/>
          <w:color w:val="auto"/>
          <w:highlight w:val="none"/>
        </w:rPr>
      </w:pPr>
      <w:r>
        <w:rPr>
          <w:rFonts w:hint="eastAsia"/>
          <w:color w:val="auto"/>
          <w:highlight w:val="none"/>
        </w:rPr>
        <w:t>按照《关于进一步规范和完善城乡建设用地增减挂钩项目实施管理工作的通知》</w:t>
      </w:r>
      <w:r>
        <w:rPr>
          <w:rFonts w:hint="eastAsia"/>
          <w:color w:val="auto"/>
          <w:highlight w:val="none"/>
          <w:lang w:eastAsia="zh-CN"/>
        </w:rPr>
        <w:t>（</w:t>
      </w:r>
      <w:r>
        <w:rPr>
          <w:rFonts w:hint="eastAsia"/>
          <w:color w:val="auto"/>
          <w:highlight w:val="none"/>
        </w:rPr>
        <w:t>内自然资发</w:t>
      </w:r>
      <w:r>
        <w:rPr>
          <w:rFonts w:hint="eastAsia" w:ascii="仿宋" w:hAnsi="仿宋" w:eastAsia="仿宋" w:cs="仿宋"/>
          <w:color w:val="auto"/>
          <w:highlight w:val="none"/>
        </w:rPr>
        <w:t>〔</w:t>
      </w:r>
      <w:r>
        <w:rPr>
          <w:rFonts w:hint="eastAsia"/>
          <w:color w:val="auto"/>
          <w:highlight w:val="none"/>
        </w:rPr>
        <w:t>2019</w:t>
      </w:r>
      <w:r>
        <w:rPr>
          <w:rFonts w:hint="eastAsia" w:ascii="宋体" w:hAnsi="宋体" w:eastAsia="宋体" w:cs="宋体"/>
          <w:color w:val="auto"/>
          <w:highlight w:val="none"/>
        </w:rPr>
        <w:t>〕</w:t>
      </w:r>
      <w:r>
        <w:rPr>
          <w:rFonts w:hint="eastAsia"/>
          <w:color w:val="auto"/>
          <w:highlight w:val="none"/>
        </w:rPr>
        <w:t>519号</w:t>
      </w:r>
      <w:r>
        <w:rPr>
          <w:rFonts w:hint="eastAsia"/>
          <w:color w:val="auto"/>
          <w:highlight w:val="none"/>
          <w:lang w:eastAsia="zh-CN"/>
        </w:rPr>
        <w:t>）</w:t>
      </w:r>
      <w:r>
        <w:rPr>
          <w:rFonts w:hint="eastAsia"/>
          <w:color w:val="auto"/>
          <w:highlight w:val="none"/>
        </w:rPr>
        <w:t>文件要求，</w:t>
      </w:r>
      <w:r>
        <w:rPr>
          <w:rFonts w:hint="eastAsia"/>
          <w:color w:val="auto"/>
          <w:highlight w:val="none"/>
          <w:lang w:val="en-US" w:eastAsia="zh-CN"/>
        </w:rPr>
        <w:t>和林格尔县2025年</w:t>
      </w:r>
      <w:r>
        <w:rPr>
          <w:color w:val="auto"/>
          <w:highlight w:val="none"/>
        </w:rPr>
        <w:t>城乡建设用地增减挂钩项目</w:t>
      </w:r>
      <w:r>
        <w:rPr>
          <w:rFonts w:hint="eastAsia"/>
          <w:color w:val="auto"/>
          <w:highlight w:val="none"/>
        </w:rPr>
        <w:t>，拆旧区总面积</w:t>
      </w:r>
      <w:r>
        <w:rPr>
          <w:rFonts w:hint="eastAsia"/>
          <w:color w:val="auto"/>
          <w:highlight w:val="none"/>
          <w:lang w:val="en-US" w:eastAsia="zh-CN"/>
        </w:rPr>
        <w:t>30.65</w:t>
      </w:r>
      <w:r>
        <w:rPr>
          <w:rFonts w:hint="eastAsia"/>
          <w:color w:val="auto"/>
          <w:highlight w:val="none"/>
        </w:rPr>
        <w:t>公顷</w:t>
      </w:r>
      <w:r>
        <w:rPr>
          <w:rFonts w:hint="eastAsia"/>
          <w:color w:val="auto"/>
          <w:highlight w:val="none"/>
          <w:lang w:eastAsia="zh-CN"/>
        </w:rPr>
        <w:t>（</w:t>
      </w:r>
      <w:r>
        <w:rPr>
          <w:rFonts w:hint="eastAsia"/>
          <w:color w:val="auto"/>
          <w:highlight w:val="none"/>
          <w:lang w:val="en-US" w:eastAsia="zh-CN"/>
        </w:rPr>
        <w:t>459.69</w:t>
      </w:r>
      <w:r>
        <w:rPr>
          <w:rFonts w:hint="eastAsia"/>
          <w:color w:val="auto"/>
          <w:highlight w:val="none"/>
        </w:rPr>
        <w:t>亩</w:t>
      </w:r>
      <w:r>
        <w:rPr>
          <w:rFonts w:hint="eastAsia"/>
          <w:color w:val="auto"/>
          <w:highlight w:val="none"/>
          <w:lang w:eastAsia="zh-CN"/>
        </w:rPr>
        <w:t>）</w:t>
      </w:r>
      <w:r>
        <w:rPr>
          <w:rFonts w:hint="eastAsia"/>
          <w:color w:val="auto"/>
          <w:highlight w:val="none"/>
        </w:rPr>
        <w:t>，共计</w:t>
      </w:r>
      <w:r>
        <w:rPr>
          <w:rFonts w:hint="eastAsia"/>
          <w:color w:val="auto"/>
          <w:highlight w:val="none"/>
          <w:lang w:val="en-US" w:eastAsia="zh-CN"/>
        </w:rPr>
        <w:t>22</w:t>
      </w:r>
      <w:r>
        <w:rPr>
          <w:rFonts w:hint="eastAsia"/>
          <w:color w:val="auto"/>
          <w:highlight w:val="none"/>
        </w:rPr>
        <w:t>个地块</w:t>
      </w:r>
      <w:r>
        <w:rPr>
          <w:rFonts w:hint="eastAsia"/>
          <w:color w:val="auto"/>
          <w:highlight w:val="none"/>
          <w:lang w:eastAsia="zh-CN"/>
        </w:rPr>
        <w:t>，</w:t>
      </w:r>
      <w:r>
        <w:rPr>
          <w:rFonts w:hint="eastAsia"/>
          <w:color w:val="auto"/>
          <w:highlight w:val="none"/>
          <w:lang w:val="en-US" w:eastAsia="zh-CN"/>
        </w:rPr>
        <w:t>根据和林格尔县</w:t>
      </w:r>
      <w:r>
        <w:rPr>
          <w:rFonts w:hint="eastAsia"/>
          <w:color w:val="auto"/>
          <w:highlight w:val="none"/>
        </w:rPr>
        <w:t>202</w:t>
      </w:r>
      <w:r>
        <w:rPr>
          <w:rFonts w:hint="eastAsia"/>
          <w:color w:val="auto"/>
          <w:highlight w:val="none"/>
          <w:lang w:val="en-US" w:eastAsia="zh-CN"/>
        </w:rPr>
        <w:t>3</w:t>
      </w:r>
      <w:r>
        <w:rPr>
          <w:rFonts w:hint="eastAsia"/>
          <w:color w:val="auto"/>
          <w:highlight w:val="none"/>
        </w:rPr>
        <w:t>年度国土变更调查数据，全部为</w:t>
      </w:r>
      <w:r>
        <w:rPr>
          <w:rFonts w:hint="eastAsia"/>
          <w:color w:val="auto"/>
          <w:highlight w:val="none"/>
          <w:lang w:val="en-US" w:eastAsia="zh-CN"/>
        </w:rPr>
        <w:t>农村居民点</w:t>
      </w:r>
      <w:r>
        <w:rPr>
          <w:rFonts w:hint="eastAsia"/>
          <w:color w:val="auto"/>
          <w:highlight w:val="none"/>
        </w:rPr>
        <w:t>。拆旧区涉及</w:t>
      </w:r>
      <w:r>
        <w:rPr>
          <w:rFonts w:hint="eastAsia"/>
          <w:color w:val="auto"/>
          <w:highlight w:val="none"/>
          <w:lang w:val="en-US" w:eastAsia="zh-CN"/>
        </w:rPr>
        <w:t>巧什营镇1</w:t>
      </w:r>
      <w:r>
        <w:rPr>
          <w:rFonts w:hint="eastAsia"/>
          <w:color w:val="auto"/>
          <w:highlight w:val="none"/>
        </w:rPr>
        <w:t>个</w:t>
      </w:r>
      <w:r>
        <w:rPr>
          <w:rFonts w:hint="eastAsia"/>
          <w:color w:val="auto"/>
          <w:highlight w:val="none"/>
          <w:lang w:val="en-US" w:eastAsia="zh-CN"/>
        </w:rPr>
        <w:t>乡</w:t>
      </w:r>
      <w:r>
        <w:rPr>
          <w:rFonts w:hint="eastAsia"/>
          <w:color w:val="auto"/>
          <w:highlight w:val="none"/>
        </w:rPr>
        <w:t>镇，涉及</w:t>
      </w:r>
      <w:r>
        <w:rPr>
          <w:rFonts w:hint="eastAsia"/>
          <w:color w:val="auto"/>
          <w:highlight w:val="none"/>
          <w:lang w:val="en-US" w:eastAsia="zh-CN"/>
        </w:rPr>
        <w:t>一间房村，岱洲营村和张昌营</w:t>
      </w:r>
      <w:r>
        <w:rPr>
          <w:rFonts w:hint="eastAsia"/>
          <w:color w:val="auto"/>
          <w:highlight w:val="none"/>
          <w:lang w:eastAsia="zh-CN"/>
        </w:rPr>
        <w:t>村</w:t>
      </w:r>
      <w:r>
        <w:rPr>
          <w:rFonts w:hint="eastAsia"/>
          <w:color w:val="auto"/>
          <w:highlight w:val="none"/>
          <w:lang w:val="en-US" w:eastAsia="zh-CN"/>
        </w:rPr>
        <w:t>3个行政村</w:t>
      </w:r>
      <w:r>
        <w:rPr>
          <w:rFonts w:hint="eastAsia"/>
          <w:color w:val="auto"/>
          <w:highlight w:val="none"/>
        </w:rPr>
        <w:t>。拆旧区不存在“开天窗”，近三年影像图上为建设用地，权属为农村集体，无争议，产权无纠纷。项目实施后，复垦为耕地。完全符合《关于印发内蒙古自治区城乡建设用地增减挂钩实施细则</w:t>
      </w:r>
      <w:r>
        <w:rPr>
          <w:rFonts w:hint="eastAsia"/>
          <w:color w:val="auto"/>
          <w:highlight w:val="none"/>
          <w:lang w:eastAsia="zh-CN"/>
        </w:rPr>
        <w:t>（</w:t>
      </w:r>
      <w:r>
        <w:rPr>
          <w:rFonts w:hint="eastAsia"/>
          <w:color w:val="auto"/>
          <w:highlight w:val="none"/>
        </w:rPr>
        <w:t>试行</w:t>
      </w:r>
      <w:r>
        <w:rPr>
          <w:rFonts w:hint="eastAsia"/>
          <w:color w:val="auto"/>
          <w:highlight w:val="none"/>
          <w:lang w:eastAsia="zh-CN"/>
        </w:rPr>
        <w:t>）</w:t>
      </w:r>
      <w:r>
        <w:rPr>
          <w:rFonts w:hint="eastAsia"/>
          <w:color w:val="auto"/>
          <w:highlight w:val="none"/>
        </w:rPr>
        <w:t>》的通知</w:t>
      </w:r>
      <w:r>
        <w:rPr>
          <w:rFonts w:hint="eastAsia"/>
          <w:color w:val="auto"/>
          <w:highlight w:val="none"/>
          <w:lang w:eastAsia="zh-CN"/>
        </w:rPr>
        <w:t>（</w:t>
      </w:r>
      <w:r>
        <w:rPr>
          <w:rFonts w:hint="eastAsia"/>
          <w:color w:val="auto"/>
          <w:highlight w:val="none"/>
        </w:rPr>
        <w:t>内自然资字</w:t>
      </w:r>
      <w:r>
        <w:rPr>
          <w:rFonts w:hint="eastAsia" w:ascii="仿宋" w:hAnsi="仿宋" w:eastAsia="仿宋" w:cs="仿宋"/>
          <w:color w:val="auto"/>
          <w:highlight w:val="none"/>
        </w:rPr>
        <w:t>〔</w:t>
      </w:r>
      <w:r>
        <w:rPr>
          <w:rFonts w:hint="eastAsia"/>
          <w:color w:val="auto"/>
          <w:highlight w:val="none"/>
        </w:rPr>
        <w:t>2022</w:t>
      </w:r>
      <w:r>
        <w:rPr>
          <w:rFonts w:hint="eastAsia" w:ascii="宋体" w:hAnsi="宋体" w:eastAsia="宋体" w:cs="宋体"/>
          <w:color w:val="auto"/>
          <w:highlight w:val="none"/>
        </w:rPr>
        <w:t>〕</w:t>
      </w:r>
      <w:r>
        <w:rPr>
          <w:rFonts w:hint="eastAsia"/>
          <w:color w:val="auto"/>
          <w:highlight w:val="none"/>
        </w:rPr>
        <w:t>354号</w:t>
      </w:r>
      <w:r>
        <w:rPr>
          <w:rFonts w:hint="eastAsia"/>
          <w:color w:val="auto"/>
          <w:highlight w:val="none"/>
          <w:lang w:eastAsia="zh-CN"/>
        </w:rPr>
        <w:t>）</w:t>
      </w:r>
      <w:r>
        <w:rPr>
          <w:rFonts w:hint="eastAsia"/>
          <w:color w:val="auto"/>
          <w:highlight w:val="none"/>
        </w:rPr>
        <w:t>文件要求，复垦方向为可长期稳定利用的、与周边环境保持一致的耕地，项目区不存在违法用地、</w:t>
      </w:r>
      <w:r>
        <w:rPr>
          <w:rFonts w:hint="eastAsia"/>
          <w:color w:val="auto"/>
          <w:highlight w:val="none"/>
          <w:lang w:val="en-US" w:eastAsia="zh-CN"/>
        </w:rPr>
        <w:t>不在</w:t>
      </w:r>
      <w:r>
        <w:rPr>
          <w:rFonts w:hint="eastAsia"/>
          <w:color w:val="auto"/>
          <w:highlight w:val="none"/>
        </w:rPr>
        <w:t>15°坡耕地范围内、不在生态保护红线范围内。本项目的实施是按照相关政策文件要求，是正确、合理可行的。</w:t>
      </w:r>
    </w:p>
    <w:p>
      <w:pPr>
        <w:bidi w:val="0"/>
        <w:ind w:firstLine="560" w:firstLineChars="200"/>
        <w:rPr>
          <w:rFonts w:hint="eastAsia"/>
          <w:color w:val="auto"/>
          <w:highlight w:val="none"/>
        </w:rPr>
      </w:pPr>
      <w:r>
        <w:rPr>
          <w:rFonts w:hint="eastAsia"/>
          <w:color w:val="auto"/>
          <w:highlight w:val="none"/>
          <w:lang w:val="en-US" w:eastAsia="zh-CN"/>
        </w:rPr>
        <w:t>和林格尔县2025年城乡建设用地增减挂钩项目</w:t>
      </w:r>
      <w:r>
        <w:rPr>
          <w:rFonts w:hint="eastAsia"/>
          <w:color w:val="auto"/>
          <w:highlight w:val="none"/>
        </w:rPr>
        <w:t>实施后，将使项目区内建设用地总量不增加</w:t>
      </w:r>
      <w:r>
        <w:rPr>
          <w:rFonts w:hint="eastAsia"/>
          <w:color w:val="auto"/>
          <w:highlight w:val="none"/>
          <w:lang w:eastAsia="zh-CN"/>
        </w:rPr>
        <w:t>，</w:t>
      </w:r>
      <w:r>
        <w:rPr>
          <w:rFonts w:hint="eastAsia"/>
          <w:color w:val="auto"/>
          <w:highlight w:val="none"/>
        </w:rPr>
        <w:t>有效农用地面积有所增加，是优化土地利用结构，合理调整</w:t>
      </w:r>
      <w:r>
        <w:rPr>
          <w:rFonts w:hint="eastAsia"/>
          <w:color w:val="auto"/>
          <w:highlight w:val="none"/>
          <w:lang w:val="en-US" w:eastAsia="zh-CN"/>
        </w:rPr>
        <w:t>用</w:t>
      </w:r>
      <w:r>
        <w:rPr>
          <w:rFonts w:hint="eastAsia"/>
          <w:color w:val="auto"/>
          <w:highlight w:val="none"/>
        </w:rPr>
        <w:t>地利用布局，推进</w:t>
      </w:r>
      <w:r>
        <w:rPr>
          <w:rFonts w:hint="eastAsia"/>
          <w:color w:val="auto"/>
          <w:highlight w:val="none"/>
          <w:lang w:eastAsia="zh-CN"/>
        </w:rPr>
        <w:t>县</w:t>
      </w:r>
      <w:r>
        <w:rPr>
          <w:rFonts w:hint="eastAsia"/>
          <w:color w:val="auto"/>
          <w:highlight w:val="none"/>
        </w:rPr>
        <w:t>域内集约节约用的和促进耕地保护利用的重要举措</w:t>
      </w:r>
      <w:r>
        <w:rPr>
          <w:rFonts w:hint="eastAsia"/>
          <w:color w:val="auto"/>
          <w:highlight w:val="none"/>
          <w:lang w:eastAsia="zh-CN"/>
        </w:rPr>
        <w:t>，</w:t>
      </w:r>
      <w:r>
        <w:rPr>
          <w:rFonts w:hint="eastAsia"/>
          <w:color w:val="auto"/>
          <w:highlight w:val="none"/>
        </w:rPr>
        <w:t>有利于推动乡村振兴行动、促进城乡一体化发展。实施城乡建设用地增减挂钩项目是在盘活农村闲置土地的同时还可以减轻</w:t>
      </w:r>
      <w:r>
        <w:rPr>
          <w:rFonts w:hint="eastAsia"/>
          <w:color w:val="auto"/>
          <w:highlight w:val="none"/>
          <w:lang w:val="en-US" w:eastAsia="zh-CN"/>
        </w:rPr>
        <w:t>和林格尔县</w:t>
      </w:r>
      <w:r>
        <w:rPr>
          <w:rFonts w:hint="eastAsia"/>
          <w:color w:val="auto"/>
          <w:highlight w:val="none"/>
        </w:rPr>
        <w:t>乡村振兴资金的压力，推动地区经济社会发展，提高地区的农牧民生活质量。本项目实施之后带来的效益是客观的，项目实施实践性较强</w:t>
      </w:r>
      <w:r>
        <w:rPr>
          <w:rFonts w:hint="eastAsia"/>
          <w:color w:val="auto"/>
          <w:highlight w:val="none"/>
          <w:lang w:eastAsia="zh-CN"/>
        </w:rPr>
        <w:t>，</w:t>
      </w:r>
      <w:r>
        <w:rPr>
          <w:rFonts w:hint="eastAsia"/>
          <w:color w:val="auto"/>
          <w:highlight w:val="none"/>
        </w:rPr>
        <w:t>实施方案的编制着手于基础工作的落实、调研和广大人民群众意见的征集，在充分尊重当地农牧民意愿的前提下开展，使项目具有现实性和可操作性。</w:t>
      </w:r>
    </w:p>
    <w:p>
      <w:pPr>
        <w:bidi w:val="0"/>
        <w:ind w:firstLine="560" w:firstLineChars="200"/>
        <w:rPr>
          <w:rFonts w:hint="eastAsia"/>
          <w:color w:val="auto"/>
          <w:highlight w:val="none"/>
          <w:lang w:eastAsia="zh-CN"/>
        </w:rPr>
      </w:pPr>
      <w:r>
        <w:rPr>
          <w:rFonts w:hint="eastAsia"/>
          <w:color w:val="auto"/>
          <w:highlight w:val="none"/>
        </w:rPr>
        <w:t>1</w:t>
      </w:r>
      <w:r>
        <w:rPr>
          <w:rFonts w:hint="eastAsia"/>
          <w:color w:val="auto"/>
          <w:highlight w:val="none"/>
          <w:lang w:eastAsia="zh-CN"/>
        </w:rPr>
        <w:t>、</w:t>
      </w:r>
      <w:r>
        <w:rPr>
          <w:rFonts w:hint="eastAsia"/>
          <w:color w:val="auto"/>
          <w:highlight w:val="none"/>
        </w:rPr>
        <w:t>本项目实施方案是在充分进行调查研究的基础上，广泛征求地方意见，经过基层村委会及村民代表大会同意，并经过科学的分析和论证后形成的，符合国家有关法规和本项目的实际情况，规划方案从实际出发，维护群众利益尊重农牧民意愿，得到</w:t>
      </w:r>
      <w:r>
        <w:rPr>
          <w:rFonts w:hint="eastAsia"/>
          <w:color w:val="auto"/>
          <w:highlight w:val="none"/>
          <w:lang w:val="en-US" w:eastAsia="zh-CN"/>
        </w:rPr>
        <w:t>和林格尔县</w:t>
      </w:r>
      <w:r>
        <w:rPr>
          <w:rFonts w:hint="eastAsia"/>
          <w:color w:val="auto"/>
          <w:highlight w:val="none"/>
        </w:rPr>
        <w:t>政府、各部门及拆迁群众的普遍支持</w:t>
      </w:r>
      <w:r>
        <w:rPr>
          <w:rFonts w:hint="eastAsia"/>
          <w:color w:val="auto"/>
          <w:highlight w:val="none"/>
          <w:lang w:eastAsia="zh-CN"/>
        </w:rPr>
        <w:t>。</w:t>
      </w:r>
    </w:p>
    <w:p>
      <w:pPr>
        <w:bidi w:val="0"/>
        <w:ind w:firstLine="560" w:firstLineChars="200"/>
        <w:rPr>
          <w:rFonts w:hint="eastAsia"/>
          <w:color w:val="auto"/>
          <w:highlight w:val="none"/>
          <w:lang w:val="en-US" w:eastAsia="zh-CN"/>
        </w:rPr>
      </w:pPr>
      <w:r>
        <w:rPr>
          <w:rFonts w:hint="eastAsia"/>
          <w:color w:val="auto"/>
          <w:highlight w:val="none"/>
        </w:rPr>
        <w:t>2</w:t>
      </w:r>
      <w:r>
        <w:rPr>
          <w:rFonts w:hint="eastAsia"/>
          <w:color w:val="auto"/>
          <w:highlight w:val="none"/>
          <w:lang w:eastAsia="zh-CN"/>
        </w:rPr>
        <w:t>、</w:t>
      </w:r>
      <w:r>
        <w:rPr>
          <w:rFonts w:hint="eastAsia"/>
          <w:color w:val="auto"/>
          <w:highlight w:val="none"/>
        </w:rPr>
        <w:t>本项目所选择拆旧区具有典型性，实施方案明确，任务清楚</w:t>
      </w:r>
      <w:r>
        <w:rPr>
          <w:rFonts w:hint="eastAsia"/>
          <w:color w:val="auto"/>
          <w:highlight w:val="none"/>
          <w:lang w:eastAsia="zh-CN"/>
        </w:rPr>
        <w:t>。</w:t>
      </w:r>
    </w:p>
    <w:p>
      <w:pPr>
        <w:bidi w:val="0"/>
        <w:ind w:firstLine="560" w:firstLineChars="200"/>
        <w:rPr>
          <w:rFonts w:hint="eastAsia"/>
          <w:color w:val="auto"/>
          <w:highlight w:val="none"/>
        </w:rPr>
      </w:pPr>
      <w:r>
        <w:rPr>
          <w:rFonts w:hint="eastAsia"/>
          <w:color w:val="auto"/>
          <w:highlight w:val="none"/>
        </w:rPr>
        <w:t>3</w:t>
      </w:r>
      <w:r>
        <w:rPr>
          <w:rFonts w:hint="eastAsia"/>
          <w:color w:val="auto"/>
          <w:highlight w:val="none"/>
          <w:lang w:eastAsia="zh-CN"/>
        </w:rPr>
        <w:t>、</w:t>
      </w:r>
      <w:r>
        <w:rPr>
          <w:rFonts w:hint="eastAsia"/>
          <w:color w:val="auto"/>
          <w:highlight w:val="none"/>
        </w:rPr>
        <w:t>本项目区</w:t>
      </w:r>
      <w:r>
        <w:rPr>
          <w:rFonts w:hint="eastAsia"/>
          <w:color w:val="auto"/>
          <w:highlight w:val="none"/>
          <w:lang w:val="en-US" w:eastAsia="zh-CN"/>
        </w:rPr>
        <w:t>复垦</w:t>
      </w:r>
      <w:r>
        <w:rPr>
          <w:rFonts w:hint="eastAsia"/>
          <w:color w:val="auto"/>
          <w:highlight w:val="none"/>
        </w:rPr>
        <w:t>潜力大，并可新增有效农用地面积，项目的预期效益明显。</w:t>
      </w:r>
    </w:p>
    <w:p>
      <w:pPr>
        <w:bidi w:val="0"/>
        <w:ind w:firstLine="560" w:firstLineChars="200"/>
        <w:rPr>
          <w:rFonts w:hint="default"/>
          <w:color w:val="auto"/>
          <w:highlight w:val="none"/>
          <w:lang w:val="en-US" w:eastAsia="zh-CN"/>
        </w:rPr>
      </w:pPr>
      <w:r>
        <w:rPr>
          <w:rFonts w:hint="eastAsia"/>
          <w:color w:val="auto"/>
          <w:highlight w:val="none"/>
        </w:rPr>
        <w:t>4</w:t>
      </w:r>
      <w:r>
        <w:rPr>
          <w:rFonts w:hint="eastAsia"/>
          <w:color w:val="auto"/>
          <w:highlight w:val="none"/>
          <w:lang w:eastAsia="zh-CN"/>
        </w:rPr>
        <w:t>、</w:t>
      </w:r>
      <w:r>
        <w:rPr>
          <w:rFonts w:hint="eastAsia"/>
          <w:color w:val="auto"/>
          <w:highlight w:val="none"/>
        </w:rPr>
        <w:t>本项目形成的指标</w:t>
      </w:r>
      <w:r>
        <w:rPr>
          <w:rFonts w:hint="eastAsia"/>
          <w:color w:val="auto"/>
          <w:highlight w:val="none"/>
          <w:lang w:val="en-US" w:eastAsia="zh-CN"/>
        </w:rPr>
        <w:t>交易</w:t>
      </w:r>
      <w:r>
        <w:rPr>
          <w:rFonts w:hint="eastAsia"/>
          <w:color w:val="auto"/>
          <w:highlight w:val="none"/>
        </w:rPr>
        <w:t>，可增加</w:t>
      </w:r>
      <w:r>
        <w:rPr>
          <w:rFonts w:hint="eastAsia"/>
          <w:color w:val="auto"/>
          <w:highlight w:val="none"/>
          <w:lang w:val="en-US" w:eastAsia="zh-CN"/>
        </w:rPr>
        <w:t>财政收入</w:t>
      </w:r>
      <w:r>
        <w:rPr>
          <w:rFonts w:hint="eastAsia"/>
          <w:color w:val="auto"/>
          <w:highlight w:val="none"/>
        </w:rPr>
        <w:t>，</w:t>
      </w:r>
      <w:r>
        <w:rPr>
          <w:rFonts w:hint="eastAsia"/>
          <w:color w:val="auto"/>
          <w:highlight w:val="none"/>
          <w:lang w:val="en-US" w:eastAsia="zh-CN"/>
        </w:rPr>
        <w:t>为</w:t>
      </w:r>
      <w:r>
        <w:rPr>
          <w:rFonts w:hint="eastAsia"/>
          <w:color w:val="auto"/>
          <w:highlight w:val="none"/>
        </w:rPr>
        <w:t>乡村振兴</w:t>
      </w:r>
      <w:r>
        <w:rPr>
          <w:rFonts w:hint="eastAsia"/>
          <w:color w:val="auto"/>
          <w:highlight w:val="none"/>
          <w:lang w:val="en-US" w:eastAsia="zh-CN"/>
        </w:rPr>
        <w:t>实施减少资金压力。</w:t>
      </w:r>
    </w:p>
    <w:p>
      <w:pPr>
        <w:pStyle w:val="3"/>
        <w:bidi w:val="0"/>
        <w:rPr>
          <w:color w:val="auto"/>
          <w:highlight w:val="none"/>
        </w:rPr>
      </w:pPr>
      <w:bookmarkStart w:id="208" w:name="_Toc22248"/>
      <w:bookmarkStart w:id="209" w:name="_Toc10311"/>
      <w:bookmarkStart w:id="210" w:name="_Toc24544"/>
      <w:r>
        <w:rPr>
          <w:color w:val="auto"/>
          <w:highlight w:val="none"/>
        </w:rPr>
        <w:t>7.2 效益分析</w:t>
      </w:r>
      <w:bookmarkEnd w:id="208"/>
      <w:bookmarkEnd w:id="209"/>
      <w:bookmarkEnd w:id="210"/>
    </w:p>
    <w:p>
      <w:pPr>
        <w:pStyle w:val="5"/>
        <w:bidi w:val="0"/>
        <w:rPr>
          <w:color w:val="auto"/>
          <w:highlight w:val="none"/>
        </w:rPr>
      </w:pPr>
      <w:r>
        <w:rPr>
          <w:color w:val="auto"/>
          <w:highlight w:val="none"/>
        </w:rPr>
        <w:t>7.2.1 社会效益分析</w:t>
      </w:r>
    </w:p>
    <w:p>
      <w:pPr>
        <w:bidi w:val="0"/>
        <w:ind w:firstLine="560" w:firstLineChars="200"/>
        <w:rPr>
          <w:rFonts w:hint="eastAsia"/>
          <w:color w:val="auto"/>
          <w:highlight w:val="none"/>
        </w:rPr>
      </w:pPr>
      <w:r>
        <w:rPr>
          <w:rFonts w:hint="eastAsia"/>
          <w:color w:val="auto"/>
          <w:highlight w:val="none"/>
        </w:rPr>
        <w:t>通过开展城乡建设用地增减挂钩项目，社会效益明显。</w:t>
      </w:r>
    </w:p>
    <w:p>
      <w:pPr>
        <w:bidi w:val="0"/>
        <w:ind w:firstLine="560" w:firstLineChars="200"/>
        <w:rPr>
          <w:rFonts w:hint="eastAsia"/>
          <w:color w:val="auto"/>
          <w:highlight w:val="none"/>
        </w:rPr>
      </w:pPr>
      <w:r>
        <w:rPr>
          <w:rFonts w:hint="eastAsia"/>
          <w:color w:val="auto"/>
          <w:highlight w:val="none"/>
        </w:rPr>
        <w:t>1、提高土地节约集约利用水平</w:t>
      </w:r>
    </w:p>
    <w:p>
      <w:pPr>
        <w:bidi w:val="0"/>
        <w:ind w:firstLine="560" w:firstLineChars="200"/>
        <w:rPr>
          <w:rFonts w:hint="eastAsia"/>
          <w:color w:val="auto"/>
          <w:highlight w:val="none"/>
        </w:rPr>
      </w:pPr>
      <w:r>
        <w:rPr>
          <w:rFonts w:hint="eastAsia"/>
          <w:color w:val="auto"/>
          <w:highlight w:val="none"/>
        </w:rPr>
        <w:t>为贯彻落实《内蒙古自治区党委、自治区人民政府关于深化土地综合整治促进高质量发展的指导意见》 (内</w:t>
      </w:r>
      <w:r>
        <w:rPr>
          <w:rFonts w:hint="eastAsia"/>
          <w:color w:val="auto"/>
          <w:highlight w:val="none"/>
          <w:lang w:val="en-US" w:eastAsia="zh-CN"/>
        </w:rPr>
        <w:t>党</w:t>
      </w:r>
      <w:r>
        <w:rPr>
          <w:rFonts w:hint="eastAsia"/>
          <w:color w:val="auto"/>
          <w:highlight w:val="none"/>
        </w:rPr>
        <w:t>发</w:t>
      </w:r>
      <w:r>
        <w:rPr>
          <w:rFonts w:hint="eastAsia"/>
          <w:color w:val="auto"/>
          <w:highlight w:val="none"/>
          <w:lang w:val="en-US" w:eastAsia="zh-CN"/>
        </w:rPr>
        <w:t>〔</w:t>
      </w:r>
      <w:r>
        <w:rPr>
          <w:rFonts w:hint="eastAsia"/>
          <w:color w:val="auto"/>
          <w:highlight w:val="none"/>
        </w:rPr>
        <w:t>2022</w:t>
      </w:r>
      <w:r>
        <w:rPr>
          <w:rFonts w:hint="eastAsia"/>
          <w:color w:val="auto"/>
          <w:highlight w:val="none"/>
          <w:lang w:val="en-US" w:eastAsia="zh-CN"/>
        </w:rPr>
        <w:t>〕18</w:t>
      </w:r>
      <w:r>
        <w:rPr>
          <w:rFonts w:hint="eastAsia"/>
          <w:color w:val="auto"/>
          <w:highlight w:val="none"/>
        </w:rPr>
        <w:t>号)和《内蒙古自治区关于深化土地综合整治促进高质量发展的实施方案》(内</w:t>
      </w:r>
      <w:r>
        <w:rPr>
          <w:rFonts w:hint="eastAsia"/>
          <w:color w:val="auto"/>
          <w:highlight w:val="none"/>
          <w:lang w:val="en-US" w:eastAsia="zh-CN"/>
        </w:rPr>
        <w:t>党</w:t>
      </w:r>
      <w:r>
        <w:rPr>
          <w:rFonts w:hint="eastAsia"/>
          <w:color w:val="auto"/>
          <w:highlight w:val="none"/>
        </w:rPr>
        <w:t>发</w:t>
      </w:r>
      <w:r>
        <w:rPr>
          <w:rFonts w:hint="eastAsia"/>
          <w:color w:val="auto"/>
          <w:highlight w:val="none"/>
          <w:lang w:val="en-US" w:eastAsia="zh-CN"/>
        </w:rPr>
        <w:t>〔</w:t>
      </w:r>
      <w:r>
        <w:rPr>
          <w:rFonts w:hint="eastAsia"/>
          <w:color w:val="auto"/>
          <w:highlight w:val="none"/>
        </w:rPr>
        <w:t>2022</w:t>
      </w:r>
      <w:r>
        <w:rPr>
          <w:rFonts w:hint="eastAsia"/>
          <w:color w:val="auto"/>
          <w:highlight w:val="none"/>
          <w:lang w:val="en-US" w:eastAsia="zh-CN"/>
        </w:rPr>
        <w:t>〕</w:t>
      </w:r>
      <w:r>
        <w:rPr>
          <w:rFonts w:hint="eastAsia"/>
          <w:color w:val="auto"/>
          <w:highlight w:val="none"/>
        </w:rPr>
        <w:t>21号)精神，全面推进</w:t>
      </w:r>
      <w:r>
        <w:rPr>
          <w:rFonts w:hint="eastAsia"/>
          <w:color w:val="auto"/>
          <w:highlight w:val="none"/>
          <w:lang w:val="en-US" w:eastAsia="zh-CN"/>
        </w:rPr>
        <w:t>和林格尔县</w:t>
      </w:r>
      <w:r>
        <w:rPr>
          <w:rFonts w:hint="eastAsia"/>
          <w:color w:val="auto"/>
          <w:highlight w:val="none"/>
        </w:rPr>
        <w:t>土地资源节约集约利用。通过城乡建设用地增减挂钩项目对拆旧区实施土地复垦，将废弃、零乱的土地恢复为可利用状态，提高了土地的节约集约利用水平同时，将整理节约的建设用地形成</w:t>
      </w:r>
      <w:r>
        <w:rPr>
          <w:rFonts w:hint="eastAsia"/>
          <w:color w:val="auto"/>
          <w:highlight w:val="none"/>
          <w:lang w:val="en-US" w:eastAsia="zh-CN"/>
        </w:rPr>
        <w:t>指标</w:t>
      </w:r>
      <w:r>
        <w:rPr>
          <w:rFonts w:hint="eastAsia"/>
          <w:color w:val="auto"/>
          <w:highlight w:val="none"/>
        </w:rPr>
        <w:t>指标，增加农牧民收入，促进地方经济发展，有利于保持社会稳定。</w:t>
      </w:r>
    </w:p>
    <w:p>
      <w:pPr>
        <w:bidi w:val="0"/>
        <w:ind w:firstLine="560" w:firstLineChars="200"/>
        <w:rPr>
          <w:rFonts w:hint="eastAsia"/>
          <w:color w:val="auto"/>
          <w:highlight w:val="none"/>
        </w:rPr>
      </w:pPr>
      <w:r>
        <w:rPr>
          <w:rFonts w:hint="eastAsia"/>
          <w:color w:val="auto"/>
          <w:highlight w:val="none"/>
        </w:rPr>
        <w:t>2、维持社会稳定及耕地总量平衡</w:t>
      </w:r>
    </w:p>
    <w:p>
      <w:pPr>
        <w:bidi w:val="0"/>
        <w:ind w:firstLine="560" w:firstLineChars="200"/>
        <w:rPr>
          <w:rFonts w:hint="eastAsia"/>
          <w:color w:val="auto"/>
          <w:highlight w:val="none"/>
        </w:rPr>
      </w:pPr>
      <w:r>
        <w:rPr>
          <w:rFonts w:hint="eastAsia"/>
          <w:color w:val="auto"/>
          <w:highlight w:val="none"/>
        </w:rPr>
        <w:t>坚持最严格的耕地保护和节约集约用地制度，严守耕地红线，全面推进耕地数量、质量、生态“三位一体”保护，保障粮食安全。通过本项目推进农村存量建设用地整治，充分利用城乡建设用地增减挂钩政策，有序推动</w:t>
      </w:r>
      <w:r>
        <w:rPr>
          <w:rFonts w:hint="eastAsia"/>
          <w:color w:val="auto"/>
          <w:highlight w:val="none"/>
          <w:lang w:val="en-US" w:eastAsia="zh-CN"/>
        </w:rPr>
        <w:t>废弃居民点</w:t>
      </w:r>
      <w:r>
        <w:rPr>
          <w:rFonts w:hint="eastAsia"/>
          <w:color w:val="auto"/>
          <w:highlight w:val="none"/>
        </w:rPr>
        <w:t>拆旧复垦，增加有效长期稳定耕地，充分发挥复垦一地农业利用价值和生态功能。保护现有耕地面积长期稳定，总量平衡。</w:t>
      </w:r>
    </w:p>
    <w:p>
      <w:pPr>
        <w:bidi w:val="0"/>
        <w:ind w:firstLine="560" w:firstLineChars="200"/>
        <w:rPr>
          <w:rFonts w:hint="eastAsia"/>
          <w:color w:val="auto"/>
          <w:highlight w:val="none"/>
        </w:rPr>
      </w:pPr>
      <w:r>
        <w:rPr>
          <w:rFonts w:hint="eastAsia"/>
          <w:color w:val="auto"/>
          <w:highlight w:val="none"/>
        </w:rPr>
        <w:t>3、</w:t>
      </w:r>
      <w:r>
        <w:rPr>
          <w:rFonts w:hint="eastAsia"/>
          <w:color w:val="auto"/>
          <w:highlight w:val="none"/>
          <w:lang w:val="en-US" w:eastAsia="zh-CN"/>
        </w:rPr>
        <w:t>项目实施</w:t>
      </w:r>
      <w:r>
        <w:rPr>
          <w:rFonts w:hint="eastAsia"/>
          <w:color w:val="auto"/>
          <w:highlight w:val="none"/>
        </w:rPr>
        <w:t>同乡村振兴有效衔接</w:t>
      </w:r>
    </w:p>
    <w:p>
      <w:pPr>
        <w:bidi w:val="0"/>
        <w:rPr>
          <w:rFonts w:hint="eastAsia"/>
          <w:color w:val="auto"/>
          <w:highlight w:val="none"/>
        </w:rPr>
      </w:pPr>
      <w:r>
        <w:rPr>
          <w:rFonts w:hint="eastAsia"/>
        </w:rPr>
        <w:t>增减挂钩项目的实施缓解了土地供需矛盾，解决建设用地指标不足促进了经济和社会发展。腾出建设用地指标获得的</w:t>
      </w:r>
      <w:r>
        <w:rPr>
          <w:rFonts w:hint="eastAsia"/>
          <w:lang w:val="en-US" w:eastAsia="zh-CN"/>
        </w:rPr>
        <w:t>指标交易</w:t>
      </w:r>
      <w:r>
        <w:rPr>
          <w:rFonts w:hint="eastAsia"/>
        </w:rPr>
        <w:t>资金用于乡村振兴，优先保障安置补偿、拆旧复垦、基础设施和公共服务设施建设、耕地保护、高标准农田建设、生态修复及农业农村发展建设等。从服从经济社会发展大局来看，增减挂钩是一项顺势而为，行之有效的好政策。</w:t>
      </w:r>
    </w:p>
    <w:p>
      <w:pPr>
        <w:bidi w:val="0"/>
        <w:ind w:firstLine="560" w:firstLineChars="200"/>
        <w:rPr>
          <w:rFonts w:hint="eastAsia"/>
          <w:color w:val="auto"/>
          <w:highlight w:val="none"/>
        </w:rPr>
      </w:pPr>
      <w:r>
        <w:rPr>
          <w:rFonts w:hint="eastAsia"/>
          <w:color w:val="auto"/>
          <w:highlight w:val="none"/>
        </w:rPr>
        <w:t>4、释放剩余劳动力，带动地方经济</w:t>
      </w:r>
    </w:p>
    <w:p>
      <w:pPr>
        <w:bidi w:val="0"/>
        <w:ind w:firstLine="560" w:firstLineChars="200"/>
        <w:rPr>
          <w:rFonts w:hint="eastAsia"/>
          <w:color w:val="auto"/>
          <w:highlight w:val="none"/>
        </w:rPr>
      </w:pPr>
      <w:r>
        <w:rPr>
          <w:rFonts w:hint="eastAsia"/>
          <w:color w:val="auto"/>
          <w:highlight w:val="none"/>
        </w:rPr>
        <w:t>城乡建设用地增减挂钩项目是一个耗资较大，建设周期较长，工程量较大的项目。在复垦的实施过程中将吸收当地剩余劳动力，解决当地剩余劳动力就业问题，促进当地经济发展。</w:t>
      </w:r>
    </w:p>
    <w:p>
      <w:pPr>
        <w:bidi w:val="0"/>
        <w:ind w:firstLine="560" w:firstLineChars="200"/>
        <w:rPr>
          <w:rFonts w:hint="eastAsia"/>
          <w:color w:val="auto"/>
          <w:highlight w:val="none"/>
        </w:rPr>
      </w:pPr>
      <w:r>
        <w:rPr>
          <w:rFonts w:hint="eastAsia"/>
          <w:color w:val="auto"/>
          <w:highlight w:val="none"/>
        </w:rPr>
        <w:t>5、提升农业综合生产力，提高农牧民收入</w:t>
      </w:r>
    </w:p>
    <w:p>
      <w:pPr>
        <w:bidi w:val="0"/>
        <w:ind w:firstLine="560" w:firstLineChars="200"/>
        <w:rPr>
          <w:rFonts w:hint="eastAsia"/>
          <w:color w:val="auto"/>
          <w:highlight w:val="none"/>
        </w:rPr>
      </w:pPr>
      <w:r>
        <w:rPr>
          <w:rFonts w:hint="eastAsia"/>
          <w:color w:val="auto"/>
          <w:highlight w:val="none"/>
        </w:rPr>
        <w:t>通过复垦工程的实施，完善农田水利、道路等农业基础设施，做到灌水有渠、排水有沟，提升农业综合生产力，增进农业生产效率，提高农牧民人均纯收入。</w:t>
      </w:r>
    </w:p>
    <w:p>
      <w:pPr>
        <w:pStyle w:val="2"/>
        <w:bidi w:val="0"/>
        <w:rPr>
          <w:highlight w:val="none"/>
        </w:rPr>
      </w:pPr>
      <w:bookmarkStart w:id="211" w:name="_Toc17889"/>
      <w:r>
        <w:rPr>
          <w:highlight w:val="none"/>
        </w:rPr>
        <w:t>7.2.2 经济效益分析</w:t>
      </w:r>
      <w:bookmarkEnd w:id="211"/>
    </w:p>
    <w:p>
      <w:pPr>
        <w:bidi w:val="0"/>
        <w:ind w:firstLine="560" w:firstLineChars="200"/>
        <w:rPr>
          <w:rFonts w:hint="default"/>
          <w:color w:val="auto"/>
          <w:highlight w:val="none"/>
          <w:lang w:eastAsia="zh-CN"/>
        </w:rPr>
      </w:pPr>
      <w:r>
        <w:rPr>
          <w:rFonts w:hint="default"/>
          <w:color w:val="auto"/>
          <w:highlight w:val="none"/>
          <w:lang w:eastAsia="zh-CN"/>
        </w:rPr>
        <w:t>增减挂钩项目实施后形成的</w:t>
      </w:r>
      <w:r>
        <w:rPr>
          <w:rFonts w:hint="eastAsia"/>
          <w:color w:val="auto"/>
          <w:highlight w:val="none"/>
          <w:lang w:val="en-US" w:eastAsia="zh-CN"/>
        </w:rPr>
        <w:t>节</w:t>
      </w:r>
      <w:r>
        <w:rPr>
          <w:rFonts w:hint="default"/>
          <w:color w:val="auto"/>
          <w:highlight w:val="none"/>
          <w:lang w:eastAsia="zh-CN"/>
        </w:rPr>
        <w:t>余指标</w:t>
      </w:r>
      <w:r>
        <w:rPr>
          <w:rFonts w:hint="default"/>
          <w:color w:val="auto"/>
          <w:highlight w:val="none"/>
        </w:rPr>
        <w:t>，能有效缓解</w:t>
      </w:r>
      <w:r>
        <w:rPr>
          <w:rFonts w:hint="eastAsia"/>
          <w:color w:val="auto"/>
          <w:highlight w:val="none"/>
          <w:lang w:val="en-US" w:eastAsia="zh-CN"/>
        </w:rPr>
        <w:t>和林格尔县</w:t>
      </w:r>
      <w:r>
        <w:rPr>
          <w:rFonts w:hint="default"/>
          <w:color w:val="auto"/>
          <w:highlight w:val="none"/>
        </w:rPr>
        <w:t>新增建设用地指标有限的困境，满足新农村建设中公益设施以及工业、商业发展的用地需求。</w:t>
      </w:r>
      <w:r>
        <w:rPr>
          <w:rFonts w:hint="default"/>
          <w:color w:val="auto"/>
          <w:highlight w:val="none"/>
          <w:lang w:eastAsia="zh-CN"/>
        </w:rPr>
        <w:t>无论是自用或者交易，都可大大减轻</w:t>
      </w:r>
      <w:r>
        <w:rPr>
          <w:rFonts w:hint="eastAsia"/>
          <w:color w:val="auto"/>
          <w:highlight w:val="none"/>
          <w:lang w:val="en-US" w:eastAsia="zh-CN"/>
        </w:rPr>
        <w:t>和林格尔县</w:t>
      </w:r>
      <w:r>
        <w:rPr>
          <w:rFonts w:hint="default"/>
          <w:color w:val="auto"/>
          <w:highlight w:val="none"/>
          <w:lang w:eastAsia="zh-CN"/>
        </w:rPr>
        <w:t>人民政府财政的压力。</w:t>
      </w:r>
    </w:p>
    <w:p>
      <w:pPr>
        <w:bidi w:val="0"/>
        <w:ind w:firstLine="560" w:firstLineChars="200"/>
        <w:rPr>
          <w:rFonts w:hint="default"/>
          <w:color w:val="auto"/>
          <w:highlight w:val="none"/>
          <w:lang w:val="en-US" w:eastAsia="zh-CN"/>
        </w:rPr>
      </w:pPr>
      <w:r>
        <w:rPr>
          <w:rFonts w:hint="default"/>
          <w:color w:val="auto"/>
          <w:highlight w:val="none"/>
          <w:lang w:eastAsia="zh-CN"/>
        </w:rPr>
        <w:t>根据自治区增减挂钩结余指标盟市流转指标指导价（</w:t>
      </w:r>
      <w:r>
        <w:rPr>
          <w:rFonts w:hint="eastAsia"/>
          <w:color w:val="auto"/>
          <w:highlight w:val="none"/>
          <w:lang w:eastAsia="zh-CN"/>
        </w:rPr>
        <w:t>耕</w:t>
      </w:r>
      <w:r>
        <w:rPr>
          <w:rFonts w:hint="default"/>
          <w:color w:val="auto"/>
          <w:highlight w:val="none"/>
          <w:lang w:eastAsia="zh-CN"/>
        </w:rPr>
        <w:t>地</w:t>
      </w:r>
      <w:r>
        <w:rPr>
          <w:rFonts w:hint="eastAsia"/>
          <w:color w:val="auto"/>
          <w:highlight w:val="none"/>
          <w:lang w:val="en-US" w:eastAsia="zh-CN"/>
        </w:rPr>
        <w:t>8</w:t>
      </w:r>
      <w:r>
        <w:rPr>
          <w:rFonts w:hint="default"/>
          <w:color w:val="auto"/>
          <w:highlight w:val="none"/>
          <w:lang w:eastAsia="zh-CN"/>
        </w:rPr>
        <w:t>万</w:t>
      </w:r>
      <w:r>
        <w:rPr>
          <w:rFonts w:hint="eastAsia"/>
          <w:color w:val="auto"/>
          <w:highlight w:val="none"/>
          <w:lang w:val="en-US" w:eastAsia="zh-CN"/>
        </w:rPr>
        <w:t>/</w:t>
      </w:r>
      <w:r>
        <w:rPr>
          <w:rFonts w:hint="default"/>
          <w:color w:val="auto"/>
          <w:highlight w:val="none"/>
          <w:lang w:eastAsia="zh-CN"/>
        </w:rPr>
        <w:t>亩、林草地5万</w:t>
      </w:r>
      <w:r>
        <w:rPr>
          <w:rFonts w:hint="eastAsia"/>
          <w:color w:val="auto"/>
          <w:highlight w:val="none"/>
          <w:lang w:val="en-US" w:eastAsia="zh-CN"/>
        </w:rPr>
        <w:t>/</w:t>
      </w:r>
      <w:r>
        <w:rPr>
          <w:rFonts w:hint="default"/>
          <w:color w:val="auto"/>
          <w:highlight w:val="none"/>
          <w:lang w:eastAsia="zh-CN"/>
        </w:rPr>
        <w:t>亩），</w:t>
      </w:r>
      <w:r>
        <w:rPr>
          <w:rFonts w:hint="eastAsia"/>
          <w:color w:val="auto"/>
          <w:highlight w:val="none"/>
          <w:lang w:eastAsia="zh-CN"/>
        </w:rPr>
        <w:t>拆旧区</w:t>
      </w:r>
      <w:r>
        <w:rPr>
          <w:rFonts w:hint="default"/>
          <w:color w:val="auto"/>
          <w:highlight w:val="none"/>
          <w:lang w:eastAsia="zh-CN"/>
        </w:rPr>
        <w:t>预计流转收入</w:t>
      </w:r>
      <w:r>
        <w:rPr>
          <w:rFonts w:hint="eastAsia"/>
          <w:color w:val="auto"/>
          <w:highlight w:val="none"/>
          <w:lang w:val="en-US" w:eastAsia="zh-CN"/>
        </w:rPr>
        <w:t>3677.52</w:t>
      </w:r>
      <w:r>
        <w:rPr>
          <w:rFonts w:hint="default"/>
          <w:color w:val="auto"/>
          <w:highlight w:val="none"/>
          <w:lang w:eastAsia="zh-CN"/>
        </w:rPr>
        <w:t>万元</w:t>
      </w:r>
      <w:r>
        <w:rPr>
          <w:rFonts w:hint="eastAsia"/>
          <w:color w:val="auto"/>
          <w:highlight w:val="none"/>
          <w:lang w:eastAsia="zh-CN"/>
        </w:rPr>
        <w:t>。</w:t>
      </w:r>
    </w:p>
    <w:p>
      <w:pPr>
        <w:bidi w:val="0"/>
        <w:ind w:firstLine="560" w:firstLineChars="200"/>
        <w:rPr>
          <w:rFonts w:hint="default"/>
          <w:color w:val="auto"/>
          <w:highlight w:val="none"/>
          <w:lang w:eastAsia="zh-CN"/>
        </w:rPr>
      </w:pPr>
      <w:r>
        <w:rPr>
          <w:rFonts w:hint="default"/>
          <w:color w:val="auto"/>
          <w:highlight w:val="none"/>
          <w:lang w:eastAsia="zh-CN"/>
        </w:rPr>
        <w:t>通过对居民点的复垦，增加耕地面积</w:t>
      </w:r>
      <w:r>
        <w:rPr>
          <w:rFonts w:hint="eastAsia"/>
          <w:color w:val="auto"/>
          <w:highlight w:val="none"/>
          <w:lang w:val="en-US" w:eastAsia="zh-CN"/>
        </w:rPr>
        <w:t>459.69</w:t>
      </w:r>
      <w:r>
        <w:rPr>
          <w:rFonts w:hint="default"/>
          <w:color w:val="auto"/>
          <w:highlight w:val="none"/>
          <w:lang w:eastAsia="zh-CN"/>
        </w:rPr>
        <w:t>亩，通过对当地经济作物投入产出进行调查后进行计算，复垦后的耕地正常年份耕作后可以为当地村民带来</w:t>
      </w:r>
      <w:r>
        <w:rPr>
          <w:rFonts w:hint="eastAsia"/>
          <w:color w:val="auto"/>
          <w:highlight w:val="none"/>
          <w:lang w:val="en-US" w:eastAsia="zh-CN"/>
        </w:rPr>
        <w:t>27.12</w:t>
      </w:r>
      <w:r>
        <w:rPr>
          <w:rFonts w:hint="default"/>
          <w:color w:val="auto"/>
          <w:highlight w:val="none"/>
          <w:lang w:eastAsia="zh-CN"/>
        </w:rPr>
        <w:t>万元的纯利润，见表</w:t>
      </w:r>
      <w:r>
        <w:rPr>
          <w:rFonts w:hint="default"/>
          <w:color w:val="auto"/>
          <w:highlight w:val="none"/>
          <w:lang w:val="en-US" w:eastAsia="zh-CN"/>
        </w:rPr>
        <w:t>7</w:t>
      </w:r>
      <w:r>
        <w:rPr>
          <w:rFonts w:hint="default"/>
          <w:color w:val="auto"/>
          <w:highlight w:val="none"/>
          <w:lang w:eastAsia="zh-CN"/>
        </w:rPr>
        <w:t>-1。</w:t>
      </w:r>
    </w:p>
    <w:p>
      <w:pPr>
        <w:bidi w:val="0"/>
        <w:ind w:firstLine="560" w:firstLineChars="200"/>
        <w:rPr>
          <w:rFonts w:hint="eastAsia"/>
          <w:color w:val="auto"/>
          <w:highlight w:val="none"/>
        </w:rPr>
      </w:pPr>
      <w:r>
        <w:rPr>
          <w:rFonts w:hint="eastAsia"/>
          <w:color w:val="auto"/>
          <w:highlight w:val="none"/>
        </w:rPr>
        <w:t>预测整理后种植玉米成本和收益情况详细见表7-1。</w:t>
      </w:r>
    </w:p>
    <w:p>
      <w:pPr>
        <w:pStyle w:val="90"/>
        <w:bidi w:val="0"/>
        <w:rPr>
          <w:rFonts w:hint="eastAsia"/>
          <w:color w:val="auto"/>
          <w:highlight w:val="none"/>
          <w:lang w:val="en-US" w:eastAsia="zh-CN"/>
        </w:rPr>
      </w:pPr>
      <w:r>
        <w:rPr>
          <w:rFonts w:hint="eastAsia"/>
          <w:color w:val="auto"/>
          <w:highlight w:val="none"/>
          <w:lang w:val="en-US" w:eastAsia="zh-CN"/>
        </w:rPr>
        <w:t>表7-1  复垦后项目区种植玉米收益计算表</w:t>
      </w:r>
    </w:p>
    <w:tbl>
      <w:tblPr>
        <w:tblStyle w:val="2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5"/>
        <w:gridCol w:w="951"/>
        <w:gridCol w:w="945"/>
        <w:gridCol w:w="945"/>
        <w:gridCol w:w="880"/>
        <w:gridCol w:w="1064"/>
        <w:gridCol w:w="892"/>
        <w:gridCol w:w="945"/>
        <w:gridCol w:w="9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eastAsia"/>
                <w:lang w:val="en-US" w:eastAsia="zh-CN"/>
              </w:rPr>
              <w:t>作物</w:t>
            </w:r>
          </w:p>
        </w:tc>
        <w:tc>
          <w:tcPr>
            <w:tcW w:w="555" w:type="pct"/>
            <w:tcBorders>
              <w:top w:val="single" w:color="000000" w:sz="8" w:space="0"/>
              <w:left w:val="nil"/>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面积</w:t>
            </w:r>
          </w:p>
        </w:tc>
        <w:tc>
          <w:tcPr>
            <w:tcW w:w="555" w:type="pct"/>
            <w:tcBorders>
              <w:top w:val="single" w:color="000000" w:sz="8" w:space="0"/>
              <w:left w:val="nil"/>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产量</w:t>
            </w:r>
          </w:p>
        </w:tc>
        <w:tc>
          <w:tcPr>
            <w:tcW w:w="555" w:type="pct"/>
            <w:tcBorders>
              <w:top w:val="single" w:color="000000" w:sz="8" w:space="0"/>
              <w:left w:val="nil"/>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单价</w:t>
            </w:r>
          </w:p>
        </w:tc>
        <w:tc>
          <w:tcPr>
            <w:tcW w:w="517" w:type="pct"/>
            <w:tcBorders>
              <w:top w:val="single" w:color="000000" w:sz="8" w:space="0"/>
              <w:left w:val="nil"/>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成本</w:t>
            </w:r>
          </w:p>
        </w:tc>
        <w:tc>
          <w:tcPr>
            <w:tcW w:w="625" w:type="pct"/>
            <w:tcBorders>
              <w:top w:val="single" w:color="000000" w:sz="8" w:space="0"/>
              <w:left w:val="nil"/>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总产量</w:t>
            </w:r>
          </w:p>
        </w:tc>
        <w:tc>
          <w:tcPr>
            <w:tcW w:w="524" w:type="pct"/>
            <w:tcBorders>
              <w:top w:val="single" w:color="000000" w:sz="8" w:space="0"/>
              <w:left w:val="nil"/>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总产值</w:t>
            </w:r>
          </w:p>
        </w:tc>
        <w:tc>
          <w:tcPr>
            <w:tcW w:w="555" w:type="pct"/>
            <w:tcBorders>
              <w:top w:val="single" w:color="000000" w:sz="8" w:space="0"/>
              <w:left w:val="nil"/>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总成本</w:t>
            </w:r>
          </w:p>
        </w:tc>
        <w:tc>
          <w:tcPr>
            <w:tcW w:w="555" w:type="pct"/>
            <w:tcBorders>
              <w:top w:val="single" w:color="000000" w:sz="8" w:space="0"/>
              <w:left w:val="nil"/>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总利润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eastAsia"/>
              </w:rPr>
            </w:pPr>
          </w:p>
        </w:tc>
        <w:tc>
          <w:tcPr>
            <w:tcW w:w="555" w:type="pct"/>
            <w:tcBorders>
              <w:top w:val="nil"/>
              <w:left w:val="nil"/>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lang w:val="en-US" w:eastAsia="zh-CN"/>
              </w:rPr>
              <w:t>亩</w:t>
            </w:r>
            <w:r>
              <w:rPr>
                <w:rFonts w:hint="default"/>
                <w:lang w:val="en-US" w:eastAsia="zh-CN"/>
              </w:rPr>
              <w:t>)</w:t>
            </w:r>
          </w:p>
        </w:tc>
        <w:tc>
          <w:tcPr>
            <w:tcW w:w="555" w:type="pct"/>
            <w:tcBorders>
              <w:top w:val="nil"/>
              <w:left w:val="nil"/>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(kg/</w:t>
            </w:r>
            <w:r>
              <w:rPr>
                <w:rFonts w:hint="eastAsia"/>
                <w:lang w:val="en-US" w:eastAsia="zh-CN"/>
              </w:rPr>
              <w:t>亩</w:t>
            </w:r>
            <w:r>
              <w:rPr>
                <w:rFonts w:hint="default"/>
                <w:lang w:val="en-US" w:eastAsia="zh-CN"/>
              </w:rPr>
              <w:t>)</w:t>
            </w:r>
          </w:p>
        </w:tc>
        <w:tc>
          <w:tcPr>
            <w:tcW w:w="555" w:type="pct"/>
            <w:tcBorders>
              <w:top w:val="nil"/>
              <w:left w:val="nil"/>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lang w:val="en-US" w:eastAsia="zh-CN"/>
              </w:rPr>
              <w:t>元</w:t>
            </w:r>
            <w:r>
              <w:rPr>
                <w:rFonts w:hint="default"/>
                <w:lang w:val="en-US" w:eastAsia="zh-CN"/>
              </w:rPr>
              <w:t>/kg)</w:t>
            </w:r>
          </w:p>
        </w:tc>
        <w:tc>
          <w:tcPr>
            <w:tcW w:w="517" w:type="pct"/>
            <w:tcBorders>
              <w:top w:val="nil"/>
              <w:left w:val="nil"/>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lang w:val="en-US" w:eastAsia="zh-CN"/>
              </w:rPr>
              <w:t>元</w:t>
            </w:r>
            <w:r>
              <w:rPr>
                <w:rFonts w:hint="default"/>
                <w:lang w:val="en-US" w:eastAsia="zh-CN"/>
              </w:rPr>
              <w:t>/</w:t>
            </w:r>
            <w:r>
              <w:rPr>
                <w:rFonts w:hint="eastAsia"/>
                <w:lang w:val="en-US" w:eastAsia="zh-CN"/>
              </w:rPr>
              <w:t>亩</w:t>
            </w:r>
            <w:r>
              <w:rPr>
                <w:rFonts w:hint="default"/>
                <w:lang w:val="en-US" w:eastAsia="zh-CN"/>
              </w:rPr>
              <w:t>)</w:t>
            </w:r>
          </w:p>
        </w:tc>
        <w:tc>
          <w:tcPr>
            <w:tcW w:w="625" w:type="pct"/>
            <w:tcBorders>
              <w:top w:val="nil"/>
              <w:left w:val="nil"/>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lang w:val="en-US" w:eastAsia="zh-CN"/>
              </w:rPr>
              <w:t>万</w:t>
            </w:r>
            <w:r>
              <w:rPr>
                <w:rFonts w:hint="default"/>
                <w:lang w:val="en-US" w:eastAsia="zh-CN"/>
              </w:rPr>
              <w:t>/</w:t>
            </w:r>
            <w:r>
              <w:rPr>
                <w:rFonts w:hint="eastAsia"/>
                <w:lang w:val="en-US" w:eastAsia="zh-CN"/>
              </w:rPr>
              <w:t>公斤</w:t>
            </w:r>
            <w:r>
              <w:rPr>
                <w:rFonts w:hint="default"/>
                <w:lang w:val="en-US" w:eastAsia="zh-CN"/>
              </w:rPr>
              <w:t>)</w:t>
            </w:r>
          </w:p>
        </w:tc>
        <w:tc>
          <w:tcPr>
            <w:tcW w:w="524" w:type="pct"/>
            <w:tcBorders>
              <w:top w:val="nil"/>
              <w:left w:val="nil"/>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lang w:val="en-US" w:eastAsia="zh-CN"/>
              </w:rPr>
              <w:t>万元</w:t>
            </w:r>
            <w:r>
              <w:rPr>
                <w:rFonts w:hint="default"/>
                <w:lang w:val="en-US" w:eastAsia="zh-CN"/>
              </w:rPr>
              <w:t>)</w:t>
            </w:r>
          </w:p>
        </w:tc>
        <w:tc>
          <w:tcPr>
            <w:tcW w:w="555" w:type="pct"/>
            <w:tcBorders>
              <w:top w:val="nil"/>
              <w:left w:val="nil"/>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lang w:val="en-US" w:eastAsia="zh-CN"/>
              </w:rPr>
              <w:t>万元</w:t>
            </w:r>
            <w:r>
              <w:rPr>
                <w:rFonts w:hint="default"/>
                <w:lang w:val="en-US" w:eastAsia="zh-CN"/>
              </w:rPr>
              <w:t>)</w:t>
            </w:r>
          </w:p>
        </w:tc>
        <w:tc>
          <w:tcPr>
            <w:tcW w:w="555" w:type="pct"/>
            <w:tcBorders>
              <w:top w:val="nil"/>
              <w:left w:val="nil"/>
              <w:bottom w:val="single" w:color="000000" w:sz="8" w:space="0"/>
              <w:right w:val="single" w:color="000000" w:sz="8" w:space="0"/>
            </w:tcBorders>
            <w:shd w:val="clear" w:color="auto" w:fill="auto"/>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lang w:val="en-US" w:eastAsia="zh-CN"/>
              </w:rPr>
              <w:t>万元</w:t>
            </w:r>
            <w:r>
              <w:rPr>
                <w:rFonts w:hint="default"/>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5" w:type="pct"/>
            <w:tcBorders>
              <w:top w:val="nil"/>
              <w:left w:val="single" w:color="000000" w:sz="8" w:space="0"/>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eastAsia"/>
              </w:rPr>
            </w:pPr>
            <w:r>
              <w:rPr>
                <w:rFonts w:hint="eastAsia"/>
                <w:lang w:val="en-US" w:eastAsia="zh-CN"/>
              </w:rPr>
              <w:t>玉米</w:t>
            </w:r>
          </w:p>
        </w:tc>
        <w:tc>
          <w:tcPr>
            <w:tcW w:w="555" w:type="pct"/>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459.69</w:t>
            </w:r>
          </w:p>
        </w:tc>
        <w:tc>
          <w:tcPr>
            <w:tcW w:w="555" w:type="pct"/>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500</w:t>
            </w:r>
          </w:p>
        </w:tc>
        <w:tc>
          <w:tcPr>
            <w:tcW w:w="555" w:type="pct"/>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2.08</w:t>
            </w:r>
          </w:p>
        </w:tc>
        <w:tc>
          <w:tcPr>
            <w:tcW w:w="517" w:type="pct"/>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450</w:t>
            </w:r>
          </w:p>
        </w:tc>
        <w:tc>
          <w:tcPr>
            <w:tcW w:w="625" w:type="pct"/>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22.98 </w:t>
            </w:r>
          </w:p>
        </w:tc>
        <w:tc>
          <w:tcPr>
            <w:tcW w:w="524" w:type="pct"/>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47.81 </w:t>
            </w:r>
          </w:p>
        </w:tc>
        <w:tc>
          <w:tcPr>
            <w:tcW w:w="555" w:type="pct"/>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20.69 </w:t>
            </w:r>
          </w:p>
        </w:tc>
        <w:tc>
          <w:tcPr>
            <w:tcW w:w="555" w:type="pct"/>
            <w:tcBorders>
              <w:top w:val="nil"/>
              <w:left w:val="nil"/>
              <w:bottom w:val="single" w:color="000000" w:sz="8" w:space="0"/>
              <w:right w:val="single" w:color="000000" w:sz="8" w:space="0"/>
            </w:tcBorders>
            <w:shd w:val="clear" w:color="auto" w:fill="auto"/>
            <w:noWrap/>
            <w:vAlign w:val="center"/>
          </w:tcPr>
          <w:p>
            <w:pPr>
              <w:pStyle w:val="80"/>
              <w:keepNext w:val="0"/>
              <w:keepLines w:val="0"/>
              <w:suppressLineNumbers w:val="0"/>
              <w:bidi w:val="0"/>
              <w:spacing w:before="0" w:beforeAutospacing="0" w:after="0" w:afterAutospacing="0"/>
              <w:ind w:left="0" w:right="0"/>
              <w:rPr>
                <w:rFonts w:hint="default"/>
              </w:rPr>
            </w:pPr>
            <w:r>
              <w:rPr>
                <w:rFonts w:hint="default"/>
                <w:lang w:val="en-US" w:eastAsia="zh-CN"/>
              </w:rPr>
              <w:t xml:space="preserve">27.12 </w:t>
            </w:r>
          </w:p>
        </w:tc>
      </w:tr>
    </w:tbl>
    <w:p>
      <w:pPr>
        <w:pStyle w:val="5"/>
        <w:keepNext/>
        <w:keepLines/>
        <w:pageBreakBefore w:val="0"/>
        <w:widowControl w:val="0"/>
        <w:kinsoku/>
        <w:wordWrap/>
        <w:overflowPunct/>
        <w:topLinePunct w:val="0"/>
        <w:autoSpaceDE/>
        <w:autoSpaceDN/>
        <w:bidi w:val="0"/>
        <w:adjustRightInd/>
        <w:snapToGrid/>
        <w:spacing w:before="313" w:beforeLines="100"/>
        <w:textAlignment w:val="auto"/>
        <w:rPr>
          <w:color w:val="auto"/>
          <w:highlight w:val="none"/>
        </w:rPr>
      </w:pPr>
      <w:r>
        <w:rPr>
          <w:color w:val="auto"/>
          <w:highlight w:val="none"/>
        </w:rPr>
        <w:t>7.2.3 生态效益分析</w:t>
      </w:r>
    </w:p>
    <w:p>
      <w:pPr>
        <w:bidi w:val="0"/>
        <w:ind w:firstLine="560" w:firstLineChars="200"/>
        <w:rPr>
          <w:rFonts w:hint="eastAsia"/>
          <w:color w:val="auto"/>
          <w:highlight w:val="none"/>
        </w:rPr>
      </w:pPr>
      <w:r>
        <w:rPr>
          <w:rFonts w:hint="eastAsia"/>
          <w:color w:val="auto"/>
          <w:highlight w:val="none"/>
        </w:rPr>
        <w:t>1、改良土壤结构，恢复生产能力</w:t>
      </w:r>
    </w:p>
    <w:p>
      <w:pPr>
        <w:bidi w:val="0"/>
        <w:ind w:firstLine="560" w:firstLineChars="200"/>
        <w:rPr>
          <w:rFonts w:hint="eastAsia"/>
          <w:color w:val="auto"/>
          <w:highlight w:val="none"/>
        </w:rPr>
      </w:pPr>
      <w:r>
        <w:rPr>
          <w:rFonts w:hint="eastAsia"/>
          <w:color w:val="auto"/>
          <w:highlight w:val="none"/>
        </w:rPr>
        <w:t>复垦区土地硬底化、砂化，土壤有机质下降，土地长期废弃，丧失生产价值。通过对项目区的拆旧复垦，复耕，</w:t>
      </w:r>
      <w:r>
        <w:rPr>
          <w:rFonts w:hint="eastAsia"/>
          <w:color w:val="auto"/>
          <w:highlight w:val="none"/>
          <w:lang w:val="en-US" w:eastAsia="zh-CN"/>
        </w:rPr>
        <w:t>散播草籽，</w:t>
      </w:r>
      <w:r>
        <w:rPr>
          <w:rFonts w:hint="eastAsia"/>
          <w:color w:val="auto"/>
          <w:highlight w:val="none"/>
        </w:rPr>
        <w:t>水土涵养等措施，将基本控制复垦区的土壤结构，改良土壤性质，产生明显的生态效益，恢复生产能力。</w:t>
      </w:r>
    </w:p>
    <w:p>
      <w:pPr>
        <w:bidi w:val="0"/>
        <w:ind w:firstLine="560" w:firstLineChars="200"/>
        <w:rPr>
          <w:rFonts w:hint="eastAsia"/>
          <w:color w:val="auto"/>
          <w:highlight w:val="none"/>
        </w:rPr>
      </w:pPr>
      <w:r>
        <w:rPr>
          <w:rFonts w:hint="eastAsia"/>
          <w:color w:val="auto"/>
          <w:highlight w:val="none"/>
        </w:rPr>
        <w:t>2、改善</w:t>
      </w:r>
      <w:r>
        <w:rPr>
          <w:rFonts w:hint="eastAsia"/>
          <w:color w:val="auto"/>
          <w:highlight w:val="none"/>
          <w:lang w:val="en-US" w:eastAsia="zh-CN"/>
        </w:rPr>
        <w:t>复垦区</w:t>
      </w:r>
      <w:r>
        <w:rPr>
          <w:rFonts w:hint="eastAsia"/>
          <w:color w:val="auto"/>
          <w:highlight w:val="none"/>
        </w:rPr>
        <w:t>生态环境，实现人与自然和谐共生</w:t>
      </w:r>
    </w:p>
    <w:p>
      <w:pPr>
        <w:bidi w:val="0"/>
        <w:ind w:firstLine="560" w:firstLineChars="200"/>
        <w:rPr>
          <w:rFonts w:hint="eastAsia"/>
          <w:color w:val="auto"/>
          <w:highlight w:val="none"/>
        </w:rPr>
      </w:pPr>
      <w:r>
        <w:rPr>
          <w:rFonts w:hint="eastAsia"/>
          <w:color w:val="auto"/>
          <w:highlight w:val="none"/>
        </w:rPr>
        <w:t>通过</w:t>
      </w:r>
      <w:r>
        <w:rPr>
          <w:rFonts w:hint="eastAsia"/>
          <w:color w:val="auto"/>
          <w:highlight w:val="none"/>
          <w:lang w:val="en-US" w:eastAsia="zh-CN"/>
        </w:rPr>
        <w:t>对废弃居民点进行复垦</w:t>
      </w:r>
      <w:r>
        <w:rPr>
          <w:rFonts w:hint="eastAsia"/>
          <w:color w:val="auto"/>
          <w:highlight w:val="none"/>
        </w:rPr>
        <w:t>整理，可使农田集中成片，路渠改善，林网兴建，有利于改善人文和自然景观生态环境，更有利于机械化、规模化生产，能提高土壤肥力水平，改善农作物生长环境，促进生态系统的稳定，使农业综合生产能力进一步得到提高，为建立现代农业奠定良好的生态环境。</w:t>
      </w:r>
    </w:p>
    <w:p>
      <w:pPr>
        <w:bidi w:val="0"/>
        <w:ind w:firstLine="560" w:firstLineChars="200"/>
        <w:rPr>
          <w:rFonts w:hint="default"/>
          <w:color w:val="auto"/>
          <w:highlight w:val="none"/>
          <w:lang w:val="en-US" w:eastAsia="zh-CN"/>
        </w:rPr>
      </w:pPr>
      <w:r>
        <w:rPr>
          <w:rFonts w:hint="eastAsia"/>
          <w:color w:val="auto"/>
          <w:highlight w:val="none"/>
        </w:rPr>
        <w:t>3、</w:t>
      </w:r>
      <w:r>
        <w:rPr>
          <w:rFonts w:hint="eastAsia"/>
          <w:color w:val="auto"/>
          <w:highlight w:val="none"/>
          <w:lang w:val="en-US" w:eastAsia="zh-CN"/>
        </w:rPr>
        <w:t>优化用地布局，改善村容村貌</w:t>
      </w:r>
    </w:p>
    <w:p>
      <w:pPr>
        <w:bidi w:val="0"/>
        <w:ind w:firstLine="560" w:firstLineChars="200"/>
        <w:rPr>
          <w:rFonts w:hint="eastAsia"/>
          <w:color w:val="auto"/>
          <w:highlight w:val="none"/>
        </w:rPr>
      </w:pPr>
      <w:r>
        <w:rPr>
          <w:rFonts w:hint="eastAsia"/>
          <w:color w:val="auto"/>
          <w:highlight w:val="none"/>
        </w:rPr>
        <w:t>通</w:t>
      </w:r>
      <w:r>
        <w:rPr>
          <w:rFonts w:hint="eastAsia"/>
          <w:color w:val="auto"/>
          <w:highlight w:val="none"/>
          <w:lang w:val="en-US" w:eastAsia="zh-CN"/>
        </w:rPr>
        <w:t>过</w:t>
      </w:r>
      <w:r>
        <w:rPr>
          <w:rFonts w:hint="eastAsia"/>
          <w:color w:val="auto"/>
          <w:highlight w:val="none"/>
        </w:rPr>
        <w:t>项目的实施，对零散居民点</w:t>
      </w:r>
      <w:r>
        <w:rPr>
          <w:rFonts w:hint="eastAsia"/>
          <w:color w:val="auto"/>
          <w:highlight w:val="none"/>
          <w:lang w:val="en-US" w:eastAsia="zh-CN"/>
        </w:rPr>
        <w:t>进行综合整治</w:t>
      </w:r>
      <w:r>
        <w:rPr>
          <w:rFonts w:hint="eastAsia"/>
          <w:color w:val="auto"/>
          <w:highlight w:val="none"/>
        </w:rPr>
        <w:t>，将原宅基地整理复垦为耕地。搬迁农户进行统一安置在村民集中居住区内，形成整齐的村庄格局，统一配套设施，改善生产生活条件，改善村容村貌。</w:t>
      </w:r>
    </w:p>
    <w:p>
      <w:pPr>
        <w:bidi w:val="0"/>
        <w:ind w:firstLine="560" w:firstLineChars="200"/>
        <w:rPr>
          <w:color w:val="auto"/>
          <w:highlight w:val="none"/>
        </w:rPr>
      </w:pPr>
      <w:r>
        <w:rPr>
          <w:color w:val="auto"/>
          <w:highlight w:val="none"/>
        </w:rPr>
        <w:t>综上所述，本项目区从社会、经济、生态等多角度考察均具有良好的效益，符合科学发展观的要求，项目的实施将带来很大的成效。</w:t>
      </w:r>
    </w:p>
    <w:bookmarkEnd w:id="172"/>
    <w:p>
      <w:pPr>
        <w:pStyle w:val="2"/>
        <w:numPr>
          <w:ilvl w:val="0"/>
          <w:numId w:val="0"/>
        </w:numPr>
        <w:bidi w:val="0"/>
        <w:ind w:firstLine="722" w:firstLineChars="200"/>
        <w:rPr>
          <w:rFonts w:ascii="Times New Roman" w:hAnsi="Times New Roman" w:cs="Times New Roman"/>
          <w:color w:val="auto"/>
          <w:highlight w:val="none"/>
        </w:rPr>
      </w:pPr>
      <w:bookmarkStart w:id="212" w:name="_Toc183011784"/>
      <w:bookmarkStart w:id="213" w:name="_Toc160511721"/>
      <w:bookmarkStart w:id="214" w:name="_Toc28865"/>
      <w:bookmarkStart w:id="215" w:name="_Toc9462"/>
      <w:bookmarkStart w:id="216" w:name="_Toc31652"/>
      <w:r>
        <w:rPr>
          <w:rFonts w:hint="eastAsia" w:ascii="Times New Roman" w:hAnsi="Times New Roman" w:eastAsia="仿宋" w:cs="Times New Roman"/>
          <w:b/>
          <w:bCs/>
          <w:color w:val="auto"/>
          <w:kern w:val="44"/>
          <w:sz w:val="36"/>
          <w:szCs w:val="44"/>
          <w:highlight w:val="none"/>
          <w:lang w:val="en-US" w:eastAsia="zh-CN" w:bidi="ar-SA"/>
        </w:rPr>
        <w:t>第</w:t>
      </w:r>
      <w:r>
        <w:rPr>
          <w:rFonts w:hint="eastAsia" w:ascii="Times New Roman" w:hAnsi="Times New Roman" w:cs="Times New Roman"/>
          <w:b/>
          <w:bCs/>
          <w:color w:val="auto"/>
          <w:kern w:val="44"/>
          <w:sz w:val="36"/>
          <w:szCs w:val="44"/>
          <w:highlight w:val="none"/>
          <w:lang w:val="en-US" w:eastAsia="zh-CN" w:bidi="ar-SA"/>
        </w:rPr>
        <w:t>八</w:t>
      </w:r>
      <w:r>
        <w:rPr>
          <w:rFonts w:hint="eastAsia" w:ascii="Times New Roman" w:hAnsi="Times New Roman" w:eastAsia="仿宋" w:cs="Times New Roman"/>
          <w:b/>
          <w:bCs/>
          <w:color w:val="auto"/>
          <w:kern w:val="44"/>
          <w:sz w:val="36"/>
          <w:szCs w:val="44"/>
          <w:highlight w:val="none"/>
          <w:lang w:val="en-US" w:eastAsia="zh-CN" w:bidi="ar-SA"/>
        </w:rPr>
        <w:t>章</w:t>
      </w:r>
      <w:bookmarkStart w:id="217" w:name="_Toc28662"/>
      <w:r>
        <w:rPr>
          <w:rFonts w:ascii="Times New Roman" w:hAnsi="Times New Roman" w:cs="Times New Roman"/>
          <w:color w:val="auto"/>
          <w:highlight w:val="none"/>
        </w:rPr>
        <w:t>项目</w:t>
      </w:r>
      <w:bookmarkEnd w:id="212"/>
      <w:bookmarkEnd w:id="213"/>
      <w:r>
        <w:rPr>
          <w:rFonts w:ascii="Times New Roman" w:hAnsi="Times New Roman" w:cs="Times New Roman"/>
          <w:color w:val="auto"/>
          <w:highlight w:val="none"/>
        </w:rPr>
        <w:t>实施保障措施</w:t>
      </w:r>
      <w:bookmarkEnd w:id="214"/>
      <w:bookmarkEnd w:id="215"/>
      <w:bookmarkEnd w:id="216"/>
      <w:bookmarkEnd w:id="217"/>
    </w:p>
    <w:p>
      <w:pPr>
        <w:pStyle w:val="3"/>
        <w:bidi w:val="0"/>
        <w:rPr>
          <w:color w:val="auto"/>
          <w:highlight w:val="none"/>
        </w:rPr>
      </w:pPr>
      <w:bookmarkStart w:id="218" w:name="_Toc1928"/>
      <w:bookmarkStart w:id="219" w:name="_Toc26707"/>
      <w:bookmarkStart w:id="220" w:name="_Toc20808"/>
      <w:r>
        <w:rPr>
          <w:color w:val="auto"/>
          <w:highlight w:val="none"/>
        </w:rPr>
        <w:t>8.1 组织保障</w:t>
      </w:r>
      <w:bookmarkEnd w:id="218"/>
      <w:bookmarkEnd w:id="219"/>
      <w:bookmarkEnd w:id="220"/>
    </w:p>
    <w:p>
      <w:pPr>
        <w:bidi w:val="0"/>
        <w:ind w:firstLine="560" w:firstLineChars="200"/>
        <w:rPr>
          <w:color w:val="auto"/>
          <w:highlight w:val="none"/>
        </w:rPr>
      </w:pPr>
      <w:r>
        <w:rPr>
          <w:color w:val="auto"/>
          <w:highlight w:val="none"/>
        </w:rPr>
        <w:t>为确保城乡建设用地增减挂钩工作顺利实施，</w:t>
      </w:r>
      <w:r>
        <w:rPr>
          <w:rFonts w:hint="eastAsia"/>
          <w:color w:val="auto"/>
          <w:highlight w:val="none"/>
          <w:lang w:val="en-US" w:eastAsia="zh-CN"/>
        </w:rPr>
        <w:t>和林格尔县</w:t>
      </w:r>
      <w:r>
        <w:rPr>
          <w:color w:val="auto"/>
          <w:highlight w:val="none"/>
        </w:rPr>
        <w:t>人民政府成立了</w:t>
      </w:r>
      <w:r>
        <w:rPr>
          <w:rFonts w:hint="eastAsia"/>
          <w:color w:val="auto"/>
          <w:highlight w:val="none"/>
          <w:lang w:val="en-US" w:eastAsia="zh-CN"/>
        </w:rPr>
        <w:t>和林格尔县</w:t>
      </w:r>
      <w:r>
        <w:rPr>
          <w:color w:val="auto"/>
          <w:highlight w:val="none"/>
        </w:rPr>
        <w:t>城乡建设用地增减挂钩工作领导小组，负责解决复垦中的重大问题。</w:t>
      </w:r>
    </w:p>
    <w:p>
      <w:pPr>
        <w:bidi w:val="0"/>
        <w:ind w:firstLine="560" w:firstLineChars="200"/>
        <w:rPr>
          <w:color w:val="auto"/>
          <w:highlight w:val="none"/>
        </w:rPr>
      </w:pPr>
      <w:r>
        <w:rPr>
          <w:color w:val="auto"/>
          <w:highlight w:val="none"/>
        </w:rPr>
        <w:t>领导小组在</w:t>
      </w:r>
      <w:r>
        <w:rPr>
          <w:rFonts w:hint="eastAsia"/>
          <w:color w:val="auto"/>
          <w:highlight w:val="none"/>
          <w:lang w:eastAsia="zh-CN"/>
        </w:rPr>
        <w:t>县</w:t>
      </w:r>
      <w:r>
        <w:rPr>
          <w:color w:val="auto"/>
          <w:highlight w:val="none"/>
        </w:rPr>
        <w:t>自然资源局下设办公室，负责处理日常事务、项目区规划及具体组织实施工作，工作人员从自然资源局内部抽调。各镇要成立相应的组织机构，在领导小组的领导下，做好挂钩工作涉及的土地复垦后土地的调整分配工作。</w:t>
      </w:r>
    </w:p>
    <w:p>
      <w:pPr>
        <w:pStyle w:val="3"/>
        <w:bidi w:val="0"/>
        <w:rPr>
          <w:color w:val="auto"/>
          <w:highlight w:val="none"/>
        </w:rPr>
      </w:pPr>
      <w:bookmarkStart w:id="221" w:name="_Toc21009"/>
      <w:bookmarkStart w:id="222" w:name="_Toc4046"/>
      <w:bookmarkStart w:id="223" w:name="_Toc1964"/>
      <w:r>
        <w:rPr>
          <w:color w:val="auto"/>
          <w:highlight w:val="none"/>
        </w:rPr>
        <w:t>8.2 政策保障</w:t>
      </w:r>
      <w:bookmarkEnd w:id="221"/>
      <w:bookmarkEnd w:id="222"/>
      <w:bookmarkEnd w:id="223"/>
    </w:p>
    <w:p>
      <w:pPr>
        <w:bidi w:val="0"/>
        <w:ind w:firstLine="560" w:firstLineChars="200"/>
        <w:rPr>
          <w:color w:val="auto"/>
          <w:highlight w:val="none"/>
        </w:rPr>
      </w:pPr>
      <w:r>
        <w:rPr>
          <w:color w:val="auto"/>
          <w:highlight w:val="none"/>
        </w:rPr>
        <w:t>项目区实施严格按照相关文件精神，实行公告、工程招投标、工程施工、工程监理等管理制度。项目实施的前期工作，应制定招投标制度，及时确定测绘、复垦规划设计、施工和监理单位，并按照国家和自治区相关标准和规范执行，并做好审查、备案制度。</w:t>
      </w:r>
    </w:p>
    <w:p>
      <w:pPr>
        <w:pStyle w:val="3"/>
        <w:bidi w:val="0"/>
        <w:rPr>
          <w:color w:val="auto"/>
          <w:highlight w:val="none"/>
        </w:rPr>
      </w:pPr>
      <w:bookmarkStart w:id="224" w:name="_Toc10824"/>
      <w:bookmarkStart w:id="225" w:name="_Toc21101"/>
      <w:bookmarkStart w:id="226" w:name="_Toc2138"/>
      <w:r>
        <w:rPr>
          <w:color w:val="auto"/>
          <w:highlight w:val="none"/>
        </w:rPr>
        <w:t>8.3 制度措施</w:t>
      </w:r>
      <w:bookmarkEnd w:id="224"/>
      <w:bookmarkEnd w:id="225"/>
      <w:bookmarkEnd w:id="226"/>
    </w:p>
    <w:p>
      <w:pPr>
        <w:bidi w:val="0"/>
        <w:ind w:firstLine="560" w:firstLineChars="200"/>
        <w:rPr>
          <w:color w:val="auto"/>
          <w:highlight w:val="none"/>
        </w:rPr>
      </w:pPr>
      <w:r>
        <w:rPr>
          <w:color w:val="auto"/>
          <w:highlight w:val="none"/>
        </w:rPr>
        <w:t>项目区规划批准后，建立健全各项规章制度。</w:t>
      </w:r>
    </w:p>
    <w:p>
      <w:pPr>
        <w:bidi w:val="0"/>
      </w:pPr>
      <w:r>
        <w:rPr>
          <w:color w:val="auto"/>
          <w:highlight w:val="none"/>
        </w:rPr>
        <w:t>一是建立项目复垦区督导检查和验收制度。设立专门的检验机</w:t>
      </w:r>
      <w:r>
        <w:t>构，完善监督机制，对于复垦出来的土地，在验收合格后，才能与建设用地周转相挂钩。发现问题及时解决，确保项目如期完成。</w:t>
      </w:r>
    </w:p>
    <w:p>
      <w:pPr>
        <w:bidi w:val="0"/>
        <w:rPr>
          <w:color w:val="auto"/>
          <w:highlight w:val="none"/>
        </w:rPr>
      </w:pPr>
      <w:r>
        <w:t>二是材料申报制度，对建设项目用地材料严格把关，及时办理相</w:t>
      </w:r>
      <w:r>
        <w:rPr>
          <w:color w:val="auto"/>
          <w:highlight w:val="none"/>
        </w:rPr>
        <w:t>关手续，加强竣工项目验收材料的上报工作，确保挂钩工作严格管理，规范操作，做到节约集约利用土地。</w:t>
      </w:r>
    </w:p>
    <w:p>
      <w:pPr>
        <w:bidi w:val="0"/>
        <w:ind w:firstLine="560" w:firstLineChars="200"/>
        <w:rPr>
          <w:color w:val="auto"/>
          <w:highlight w:val="none"/>
        </w:rPr>
      </w:pPr>
      <w:r>
        <w:rPr>
          <w:color w:val="auto"/>
          <w:highlight w:val="none"/>
        </w:rPr>
        <w:t>三是建立台账制度，对批准的</w:t>
      </w:r>
      <w:r>
        <w:rPr>
          <w:rFonts w:hint="eastAsia"/>
          <w:color w:val="auto"/>
          <w:highlight w:val="none"/>
          <w:lang w:val="en-US" w:eastAsia="zh-CN"/>
        </w:rPr>
        <w:t>流</w:t>
      </w:r>
      <w:r>
        <w:rPr>
          <w:color w:val="auto"/>
          <w:highlight w:val="none"/>
        </w:rPr>
        <w:t>转指标、验收合格的新增耕地及办理用地手续的建设项目建立台账，及时核减相关指标，保证建设用地总量不增加，耕地面积不减少。</w:t>
      </w:r>
    </w:p>
    <w:p>
      <w:pPr>
        <w:pStyle w:val="3"/>
        <w:bidi w:val="0"/>
        <w:rPr>
          <w:color w:val="auto"/>
          <w:highlight w:val="none"/>
        </w:rPr>
      </w:pPr>
      <w:bookmarkStart w:id="227" w:name="_Toc12204"/>
      <w:bookmarkStart w:id="228" w:name="_Toc18443"/>
      <w:bookmarkStart w:id="229" w:name="_Toc19814"/>
      <w:r>
        <w:rPr>
          <w:color w:val="auto"/>
          <w:highlight w:val="none"/>
        </w:rPr>
        <w:t>8.4 资金保障</w:t>
      </w:r>
      <w:bookmarkEnd w:id="227"/>
      <w:bookmarkEnd w:id="228"/>
      <w:bookmarkEnd w:id="229"/>
    </w:p>
    <w:p>
      <w:pPr>
        <w:bidi w:val="0"/>
        <w:ind w:firstLine="560" w:firstLineChars="200"/>
        <w:rPr>
          <w:color w:val="auto"/>
          <w:highlight w:val="none"/>
        </w:rPr>
      </w:pPr>
      <w:r>
        <w:rPr>
          <w:rFonts w:hint="eastAsia"/>
          <w:color w:val="auto"/>
          <w:highlight w:val="none"/>
          <w:lang w:val="en-US" w:eastAsia="zh-CN"/>
        </w:rPr>
        <w:t>和林格尔县2025</w:t>
      </w:r>
      <w:r>
        <w:rPr>
          <w:color w:val="auto"/>
          <w:highlight w:val="none"/>
        </w:rPr>
        <w:t>年城乡建设用地增减挂钩项目资金</w:t>
      </w:r>
      <w:r>
        <w:rPr>
          <w:rFonts w:hint="eastAsia"/>
          <w:color w:val="auto"/>
          <w:highlight w:val="none"/>
          <w:lang w:val="en-US" w:eastAsia="zh-CN"/>
        </w:rPr>
        <w:t>全部由呼和浩特城市交通投资建设集团有限公司投资</w:t>
      </w:r>
      <w:r>
        <w:rPr>
          <w:color w:val="auto"/>
          <w:highlight w:val="none"/>
        </w:rPr>
        <w:t>。由</w:t>
      </w:r>
      <w:r>
        <w:rPr>
          <w:rFonts w:hint="eastAsia"/>
          <w:color w:val="auto"/>
          <w:highlight w:val="none"/>
          <w:lang w:val="en-US" w:eastAsia="zh-CN"/>
        </w:rPr>
        <w:t>呼和浩特城市交通投资建设集团有限公司</w:t>
      </w:r>
      <w:r>
        <w:rPr>
          <w:color w:val="auto"/>
          <w:highlight w:val="none"/>
        </w:rPr>
        <w:t>筹集专项资金，专门用于拆旧地块复垦工程的实施等。在资金管理上要做到专款专用，建立健全和规范的财务管理制度按工程进度监督项目资金使用，严格加强财务收支管理，对弄虚作假、截留、挪用和挤占项目资金的，将采取停止拨款、限期整改和追回拨款等措施，确保项目资金专款专用。</w:t>
      </w:r>
    </w:p>
    <w:p>
      <w:pPr>
        <w:pStyle w:val="3"/>
        <w:bidi w:val="0"/>
        <w:ind w:firstLine="642" w:firstLineChars="200"/>
        <w:rPr>
          <w:color w:val="auto"/>
          <w:highlight w:val="none"/>
        </w:rPr>
      </w:pPr>
      <w:bookmarkStart w:id="230" w:name="_Toc6451"/>
      <w:bookmarkStart w:id="231" w:name="_Toc11530"/>
      <w:bookmarkStart w:id="232" w:name="_Toc21635"/>
      <w:r>
        <w:rPr>
          <w:color w:val="auto"/>
          <w:highlight w:val="none"/>
        </w:rPr>
        <w:t>8.5 后期管护</w:t>
      </w:r>
      <w:bookmarkEnd w:id="230"/>
      <w:bookmarkEnd w:id="231"/>
      <w:bookmarkEnd w:id="232"/>
    </w:p>
    <w:p>
      <w:pPr>
        <w:pStyle w:val="5"/>
        <w:bidi w:val="0"/>
      </w:pPr>
      <w:bookmarkStart w:id="233" w:name="_Hlk38016961"/>
      <w:r>
        <w:rPr>
          <w:rFonts w:hint="eastAsia"/>
          <w:lang w:val="en-US" w:eastAsia="zh-CN"/>
        </w:rPr>
        <w:t>1.</w:t>
      </w:r>
      <w:r>
        <w:rPr>
          <w:lang w:val="en-US" w:eastAsia="zh-CN"/>
        </w:rPr>
        <w:t>建立共同管理机制</w:t>
      </w:r>
    </w:p>
    <w:p>
      <w:pPr>
        <w:bidi w:val="0"/>
        <w:ind w:firstLine="560" w:firstLineChars="200"/>
        <w:rPr>
          <w:color w:val="auto"/>
          <w:highlight w:val="none"/>
        </w:rPr>
      </w:pPr>
      <w:r>
        <w:rPr>
          <w:color w:val="auto"/>
          <w:highlight w:val="none"/>
        </w:rPr>
        <w:t>项目实施完成后，后期管护主体主要为</w:t>
      </w:r>
      <w:r>
        <w:rPr>
          <w:rFonts w:hint="eastAsia"/>
          <w:color w:val="auto"/>
          <w:highlight w:val="none"/>
        </w:rPr>
        <w:t>乡镇人民政府</w:t>
      </w:r>
      <w:r>
        <w:rPr>
          <w:color w:val="auto"/>
          <w:highlight w:val="none"/>
        </w:rPr>
        <w:t>。</w:t>
      </w:r>
      <w:r>
        <w:rPr>
          <w:rFonts w:hint="eastAsia"/>
          <w:color w:val="auto"/>
          <w:highlight w:val="none"/>
          <w:lang w:val="en-US" w:eastAsia="zh-CN"/>
        </w:rPr>
        <w:t>和林格尔县</w:t>
      </w:r>
      <w:r>
        <w:rPr>
          <w:color w:val="auto"/>
          <w:highlight w:val="none"/>
        </w:rPr>
        <w:t>自然资源局、乡镇政府、行政村三方签订后期管护协议，</w:t>
      </w:r>
      <w:r>
        <w:rPr>
          <w:rFonts w:hint="eastAsia"/>
          <w:color w:val="auto"/>
          <w:highlight w:val="none"/>
        </w:rPr>
        <w:t>乡镇人民政府可组织</w:t>
      </w:r>
      <w:r>
        <w:rPr>
          <w:color w:val="auto"/>
          <w:highlight w:val="none"/>
        </w:rPr>
        <w:t>行政村成立后期管护小组，将认真负责的人员纳入进行管护，对工程进行修缮，</w:t>
      </w:r>
      <w:r>
        <w:rPr>
          <w:rFonts w:hint="eastAsia"/>
          <w:color w:val="auto"/>
          <w:highlight w:val="none"/>
          <w:lang w:val="en-US" w:eastAsia="zh-CN"/>
        </w:rPr>
        <w:t>县</w:t>
      </w:r>
      <w:r>
        <w:rPr>
          <w:rFonts w:hint="eastAsia"/>
          <w:color w:val="auto"/>
          <w:highlight w:val="none"/>
        </w:rPr>
        <w:t>自然资源局</w:t>
      </w:r>
      <w:r>
        <w:rPr>
          <w:color w:val="auto"/>
          <w:highlight w:val="none"/>
        </w:rPr>
        <w:t>借助“国土调查云智能管理”APP 和“91卫图助手”进行监管，并进行定期和不定期的实地检查。管护期满一年后由</w:t>
      </w:r>
      <w:r>
        <w:rPr>
          <w:rFonts w:hint="eastAsia"/>
          <w:color w:val="auto"/>
          <w:highlight w:val="none"/>
          <w:lang w:val="en-US" w:eastAsia="zh-CN"/>
        </w:rPr>
        <w:t>县</w:t>
      </w:r>
      <w:r>
        <w:rPr>
          <w:color w:val="auto"/>
          <w:highlight w:val="none"/>
        </w:rPr>
        <w:t>自然资源局组织乡镇、村及相关单位进行实地核查，耕地质量标准有提高、工程设施没有破坏，按照预算支付行政村后期管护费，村集体经济组织给管护人员支付工资和因耕地质量提升改造、工程设施修缮投入的费用，对管护不到位的村组，将扣除该年度后期管护经费，做到奖罚分明。后期管护费按照</w:t>
      </w:r>
      <w:r>
        <w:rPr>
          <w:rFonts w:hint="eastAsia"/>
          <w:color w:val="auto"/>
          <w:highlight w:val="none"/>
          <w:lang w:val="en-US" w:eastAsia="zh-CN"/>
        </w:rPr>
        <w:t>5</w:t>
      </w:r>
      <w:r>
        <w:rPr>
          <w:color w:val="auto"/>
          <w:highlight w:val="none"/>
        </w:rPr>
        <w:t>年进行预算。</w:t>
      </w:r>
    </w:p>
    <w:p>
      <w:pPr>
        <w:keepNext w:val="0"/>
        <w:keepLines w:val="0"/>
        <w:pageBreakBefore w:val="0"/>
        <w:widowControl/>
        <w:kinsoku/>
        <w:wordWrap/>
        <w:overflowPunct/>
        <w:topLinePunct w:val="0"/>
        <w:autoSpaceDE/>
        <w:autoSpaceDN/>
        <w:bidi w:val="0"/>
        <w:adjustRightInd/>
        <w:snapToGrid/>
        <w:ind w:firstLine="560" w:firstLineChars="200"/>
        <w:textAlignment w:val="auto"/>
        <w:rPr>
          <w:rFonts w:hint="default" w:eastAsia="仿宋"/>
          <w:highlight w:val="none"/>
          <w:lang w:val="en-US" w:eastAsia="zh-CN"/>
        </w:rPr>
      </w:pPr>
      <w:r>
        <w:rPr>
          <w:color w:val="auto"/>
          <w:highlight w:val="none"/>
        </w:rPr>
        <w:t>本方案的施期限为202</w:t>
      </w:r>
      <w:r>
        <w:rPr>
          <w:rFonts w:hint="eastAsia"/>
          <w:color w:val="auto"/>
          <w:highlight w:val="none"/>
          <w:lang w:val="en-US" w:eastAsia="zh-CN"/>
        </w:rPr>
        <w:t>5</w:t>
      </w:r>
      <w:r>
        <w:rPr>
          <w:color w:val="auto"/>
          <w:highlight w:val="none"/>
        </w:rPr>
        <w:t>年</w:t>
      </w:r>
      <w:r>
        <w:rPr>
          <w:rFonts w:hint="eastAsia"/>
          <w:color w:val="auto"/>
          <w:highlight w:val="none"/>
          <w:lang w:val="en-US" w:eastAsia="zh-CN"/>
        </w:rPr>
        <w:t>4</w:t>
      </w:r>
      <w:r>
        <w:rPr>
          <w:color w:val="auto"/>
          <w:highlight w:val="none"/>
        </w:rPr>
        <w:t>月</w:t>
      </w:r>
      <w:r>
        <w:rPr>
          <w:rFonts w:hint="eastAsia"/>
          <w:color w:val="auto"/>
          <w:highlight w:val="none"/>
          <w:lang w:val="en-US" w:eastAsia="zh-CN"/>
        </w:rPr>
        <w:t>初</w:t>
      </w:r>
      <w:r>
        <w:rPr>
          <w:color w:val="auto"/>
          <w:highlight w:val="none"/>
        </w:rPr>
        <w:t>-202</w:t>
      </w:r>
      <w:r>
        <w:rPr>
          <w:rFonts w:hint="eastAsia"/>
          <w:color w:val="auto"/>
          <w:highlight w:val="none"/>
          <w:lang w:val="en-US" w:eastAsia="zh-CN"/>
        </w:rPr>
        <w:t>6</w:t>
      </w:r>
      <w:r>
        <w:rPr>
          <w:color w:val="auto"/>
          <w:highlight w:val="none"/>
        </w:rPr>
        <w:t>年</w:t>
      </w:r>
      <w:r>
        <w:rPr>
          <w:rFonts w:hint="eastAsia"/>
          <w:color w:val="auto"/>
          <w:highlight w:val="none"/>
          <w:lang w:val="en-US" w:eastAsia="zh-CN"/>
        </w:rPr>
        <w:t>8</w:t>
      </w:r>
      <w:r>
        <w:rPr>
          <w:color w:val="auto"/>
          <w:highlight w:val="none"/>
        </w:rPr>
        <w:t>月</w:t>
      </w:r>
      <w:r>
        <w:rPr>
          <w:rFonts w:hint="eastAsia"/>
          <w:color w:val="auto"/>
          <w:highlight w:val="none"/>
          <w:lang w:val="en-US" w:eastAsia="zh-CN"/>
        </w:rPr>
        <w:t>底</w:t>
      </w:r>
      <w:r>
        <w:rPr>
          <w:color w:val="auto"/>
          <w:highlight w:val="none"/>
        </w:rPr>
        <w:t>，后期管护期限为</w:t>
      </w:r>
      <w:r>
        <w:rPr>
          <w:rFonts w:hint="eastAsia"/>
          <w:color w:val="auto"/>
          <w:highlight w:val="none"/>
          <w:lang w:val="en-US" w:eastAsia="zh-CN"/>
        </w:rPr>
        <w:t>5</w:t>
      </w:r>
      <w:r>
        <w:rPr>
          <w:color w:val="auto"/>
          <w:highlight w:val="none"/>
        </w:rPr>
        <w:t>年。主要是对</w:t>
      </w:r>
      <w:r>
        <w:rPr>
          <w:rFonts w:hint="eastAsia"/>
          <w:color w:val="auto"/>
          <w:highlight w:val="none"/>
          <w:lang w:val="en-US" w:eastAsia="zh-CN"/>
        </w:rPr>
        <w:t>耕地</w:t>
      </w:r>
      <w:r>
        <w:rPr>
          <w:color w:val="auto"/>
          <w:highlight w:val="none"/>
        </w:rPr>
        <w:t>的种植管护。</w:t>
      </w:r>
      <w:r>
        <w:rPr>
          <w:rFonts w:hint="eastAsia"/>
          <w:color w:val="auto"/>
          <w:highlight w:val="none"/>
          <w:lang w:val="en-US" w:eastAsia="zh-CN"/>
        </w:rPr>
        <w:t>耕地管护费为27.58万元。</w:t>
      </w:r>
    </w:p>
    <w:p>
      <w:pPr>
        <w:pStyle w:val="5"/>
        <w:bidi w:val="0"/>
        <w:rPr>
          <w:rFonts w:hint="default"/>
          <w:highlight w:val="none"/>
          <w:lang w:val="en-US" w:eastAsia="zh-CN"/>
        </w:rPr>
      </w:pPr>
      <w:r>
        <w:rPr>
          <w:rFonts w:hint="eastAsia"/>
          <w:highlight w:val="none"/>
          <w:lang w:val="en-US" w:eastAsia="zh-CN"/>
        </w:rPr>
        <w:t>2.管理措施</w:t>
      </w:r>
    </w:p>
    <w:p>
      <w:pPr>
        <w:bidi w:val="0"/>
        <w:ind w:firstLine="560" w:firstLineChars="200"/>
        <w:rPr>
          <w:rFonts w:ascii="Times New Roman" w:hAnsi="Times New Roman" w:cs="Times New Roman"/>
          <w:color w:val="auto"/>
          <w:highlight w:val="none"/>
        </w:rPr>
      </w:pPr>
      <w:r>
        <w:rPr>
          <w:rFonts w:ascii="Times New Roman" w:hAnsi="Times New Roman" w:cs="Times New Roman"/>
          <w:color w:val="auto"/>
          <w:highlight w:val="none"/>
          <w:lang w:val="en-US" w:eastAsia="zh-CN"/>
        </w:rPr>
        <w:t>对于本项目复垦的内容，成长期保证耕种作物成活率，定期巡查，防止人为</w:t>
      </w:r>
      <w:r>
        <w:rPr>
          <w:rFonts w:hint="eastAsia" w:ascii="Times New Roman" w:hAnsi="Times New Roman" w:cs="Times New Roman"/>
          <w:color w:val="auto"/>
          <w:highlight w:val="none"/>
          <w:lang w:val="en-US" w:eastAsia="zh-CN"/>
        </w:rPr>
        <w:t>破坏。对于受益农户较多的项目区，应在所涉及农户自愿的基础上，组建管护组织对于项目建成后的耕地，其产权归集体所有，由集体共同监督管护。</w:t>
      </w:r>
    </w:p>
    <w:p>
      <w:pPr>
        <w:bidi w:val="0"/>
      </w:pPr>
      <w:r>
        <w:rPr>
          <w:lang w:val="en-US" w:eastAsia="zh-CN"/>
        </w:rPr>
        <w:t>（</w:t>
      </w:r>
      <w:r>
        <w:rPr>
          <w:rFonts w:hint="default"/>
          <w:lang w:val="en-US" w:eastAsia="zh-CN"/>
        </w:rPr>
        <w:t>1</w:t>
      </w:r>
      <w:r>
        <w:rPr>
          <w:lang w:val="en-US" w:eastAsia="zh-CN"/>
        </w:rPr>
        <w:t>）基础设施管护</w:t>
      </w:r>
    </w:p>
    <w:p>
      <w:pPr>
        <w:bidi w:val="0"/>
      </w:pPr>
      <w:r>
        <w:rPr>
          <w:rFonts w:hint="eastAsia"/>
          <w:lang w:val="en-US" w:eastAsia="zh-CN"/>
        </w:rPr>
        <w:t>①</w:t>
      </w:r>
      <w:r>
        <w:rPr>
          <w:lang w:val="en-US" w:eastAsia="zh-CN"/>
        </w:rPr>
        <w:t>土地平整工程。保证项目区耕地宜耕种</w:t>
      </w:r>
      <w:r>
        <w:rPr>
          <w:rFonts w:hint="eastAsia"/>
          <w:lang w:val="en-US" w:eastAsia="zh-CN"/>
        </w:rPr>
        <w:t>草地宜生长</w:t>
      </w:r>
      <w:r>
        <w:rPr>
          <w:lang w:val="en-US" w:eastAsia="zh-CN"/>
        </w:rPr>
        <w:t>。</w:t>
      </w:r>
    </w:p>
    <w:p>
      <w:pPr>
        <w:bidi w:val="0"/>
      </w:pPr>
      <w:r>
        <w:rPr>
          <w:rFonts w:hint="eastAsia"/>
          <w:lang w:val="en-US" w:eastAsia="zh-CN"/>
        </w:rPr>
        <w:t>②</w:t>
      </w:r>
      <w:r>
        <w:rPr>
          <w:lang w:val="en-US" w:eastAsia="zh-CN"/>
        </w:rPr>
        <w:t>农田防护与生态环境保持工程。保证网围栏完整无损，道路平坦畅通。保证公示牌、标志牌、警示牌等完好、清晰。保证防护工程充分发挥作用。</w:t>
      </w:r>
    </w:p>
    <w:p>
      <w:pPr>
        <w:bidi w:val="0"/>
      </w:pPr>
      <w:r>
        <w:rPr>
          <w:lang w:val="en-US" w:eastAsia="zh-CN"/>
        </w:rPr>
        <w:t>（</w:t>
      </w:r>
      <w:r>
        <w:rPr>
          <w:rFonts w:hint="default"/>
          <w:lang w:val="en-US" w:eastAsia="zh-CN"/>
        </w:rPr>
        <w:t>2</w:t>
      </w:r>
      <w:r>
        <w:rPr>
          <w:lang w:val="en-US" w:eastAsia="zh-CN"/>
        </w:rPr>
        <w:t>）耕地</w:t>
      </w:r>
      <w:r>
        <w:rPr>
          <w:rFonts w:hint="eastAsia"/>
          <w:lang w:val="en-US" w:eastAsia="zh-CN"/>
        </w:rPr>
        <w:t>、草地</w:t>
      </w:r>
      <w:r>
        <w:rPr>
          <w:lang w:val="en-US" w:eastAsia="zh-CN"/>
        </w:rPr>
        <w:t>利用管护</w:t>
      </w:r>
    </w:p>
    <w:p>
      <w:pPr>
        <w:bidi w:val="0"/>
      </w:pPr>
      <w:r>
        <w:rPr>
          <w:rFonts w:hint="eastAsia"/>
          <w:lang w:val="en-US" w:eastAsia="zh-CN"/>
        </w:rPr>
        <w:t>①</w:t>
      </w:r>
      <w:r>
        <w:rPr>
          <w:lang w:val="en-US" w:eastAsia="zh-CN"/>
        </w:rPr>
        <w:t>严禁违规占用耕地</w:t>
      </w:r>
      <w:r>
        <w:rPr>
          <w:rFonts w:hint="eastAsia"/>
          <w:lang w:val="en-US" w:eastAsia="zh-CN"/>
        </w:rPr>
        <w:t>草地</w:t>
      </w:r>
      <w:r>
        <w:rPr>
          <w:lang w:val="en-US" w:eastAsia="zh-CN"/>
        </w:rPr>
        <w:t>从事非农建设。</w:t>
      </w:r>
    </w:p>
    <w:p>
      <w:pPr>
        <w:bidi w:val="0"/>
      </w:pPr>
      <w:r>
        <w:rPr>
          <w:rFonts w:hint="eastAsia"/>
          <w:lang w:val="en-US" w:eastAsia="zh-CN"/>
        </w:rPr>
        <w:t>②</w:t>
      </w:r>
      <w:r>
        <w:rPr>
          <w:lang w:val="en-US" w:eastAsia="zh-CN"/>
        </w:rPr>
        <w:t>严格控制项目区内耕地</w:t>
      </w:r>
      <w:r>
        <w:rPr>
          <w:rFonts w:hint="eastAsia"/>
          <w:lang w:val="en-US" w:eastAsia="zh-CN"/>
        </w:rPr>
        <w:t>草地</w:t>
      </w:r>
      <w:r>
        <w:rPr>
          <w:lang w:val="en-US" w:eastAsia="zh-CN"/>
        </w:rPr>
        <w:t>转为林地、园地等其他类型农用地，严禁种植乔木、灌木、果树、茶树等树木。</w:t>
      </w:r>
    </w:p>
    <w:p>
      <w:pPr>
        <w:bidi w:val="0"/>
      </w:pPr>
      <w:r>
        <w:rPr>
          <w:rFonts w:hint="eastAsia"/>
          <w:lang w:val="en-US" w:eastAsia="zh-CN"/>
        </w:rPr>
        <w:t>③</w:t>
      </w:r>
      <w:r>
        <w:rPr>
          <w:lang w:val="en-US" w:eastAsia="zh-CN"/>
        </w:rPr>
        <w:t>加强耕地保护和质量提升，严守耕地</w:t>
      </w:r>
      <w:r>
        <w:rPr>
          <w:rFonts w:hint="eastAsia"/>
          <w:lang w:val="en-US" w:eastAsia="zh-CN"/>
        </w:rPr>
        <w:t>草地</w:t>
      </w:r>
      <w:r>
        <w:rPr>
          <w:lang w:val="en-US" w:eastAsia="zh-CN"/>
        </w:rPr>
        <w:t>数量和质量红线。开展耕地</w:t>
      </w:r>
      <w:r>
        <w:rPr>
          <w:rFonts w:hint="eastAsia"/>
          <w:lang w:val="en-US" w:eastAsia="zh-CN"/>
        </w:rPr>
        <w:t>草地</w:t>
      </w:r>
      <w:r>
        <w:rPr>
          <w:lang w:val="en-US" w:eastAsia="zh-CN"/>
        </w:rPr>
        <w:t>后期利用日常巡查工作，发现并制止擅自改变耕地</w:t>
      </w:r>
      <w:r>
        <w:rPr>
          <w:rFonts w:hint="eastAsia"/>
          <w:lang w:val="en-US" w:eastAsia="zh-CN"/>
        </w:rPr>
        <w:t>草地</w:t>
      </w:r>
      <w:r>
        <w:rPr>
          <w:lang w:val="en-US" w:eastAsia="zh-CN"/>
        </w:rPr>
        <w:t>用途的行为。</w:t>
      </w:r>
    </w:p>
    <w:p>
      <w:pPr>
        <w:bidi w:val="0"/>
      </w:pPr>
      <w:r>
        <w:rPr>
          <w:rFonts w:hint="default"/>
          <w:lang w:val="en-US" w:eastAsia="zh-CN"/>
        </w:rPr>
        <w:t>3</w:t>
      </w:r>
      <w:r>
        <w:rPr>
          <w:lang w:val="en-US" w:eastAsia="zh-CN"/>
        </w:rPr>
        <w:t xml:space="preserve">、建立全程监管机制 </w:t>
      </w:r>
    </w:p>
    <w:p>
      <w:pPr>
        <w:bidi w:val="0"/>
      </w:pPr>
      <w:r>
        <w:rPr>
          <w:lang w:val="en-US" w:eastAsia="zh-CN"/>
        </w:rPr>
        <w:t>加大新增耕地</w:t>
      </w:r>
      <w:r>
        <w:rPr>
          <w:rFonts w:hint="eastAsia"/>
          <w:lang w:val="en-US" w:eastAsia="zh-CN"/>
        </w:rPr>
        <w:t>草地</w:t>
      </w:r>
      <w:r>
        <w:rPr>
          <w:lang w:val="en-US" w:eastAsia="zh-CN"/>
        </w:rPr>
        <w:t>全程监管力度，做到项目各个环节工作全部到位，明确新增耕地</w:t>
      </w:r>
      <w:r>
        <w:rPr>
          <w:rFonts w:hint="eastAsia"/>
          <w:lang w:val="en-US" w:eastAsia="zh-CN"/>
        </w:rPr>
        <w:t>草地</w:t>
      </w:r>
      <w:r>
        <w:rPr>
          <w:lang w:val="en-US" w:eastAsia="zh-CN"/>
        </w:rPr>
        <w:t>用于增减挂钩、增加有效耕地</w:t>
      </w:r>
      <w:r>
        <w:rPr>
          <w:rFonts w:hint="eastAsia"/>
          <w:lang w:val="en-US" w:eastAsia="zh-CN"/>
        </w:rPr>
        <w:t>草地</w:t>
      </w:r>
      <w:r>
        <w:rPr>
          <w:lang w:val="en-US" w:eastAsia="zh-CN"/>
        </w:rPr>
        <w:t>面积，严禁非农建设、设施农业、挖塘养殖等破坏耕作层的经营活动占用。</w:t>
      </w:r>
    </w:p>
    <w:p>
      <w:pPr>
        <w:bidi w:val="0"/>
      </w:pPr>
      <w:r>
        <w:rPr>
          <w:rFonts w:hint="default"/>
          <w:lang w:val="en-US" w:eastAsia="zh-CN"/>
        </w:rPr>
        <w:t>4</w:t>
      </w:r>
      <w:r>
        <w:rPr>
          <w:lang w:val="en-US" w:eastAsia="zh-CN"/>
        </w:rPr>
        <w:t xml:space="preserve">、建立违法用地查处机制 </w:t>
      </w:r>
    </w:p>
    <w:p>
      <w:pPr>
        <w:bidi w:val="0"/>
      </w:pPr>
      <w:r>
        <w:rPr>
          <w:lang w:val="en-US" w:eastAsia="zh-CN"/>
        </w:rPr>
        <w:t>将复垦耕地</w:t>
      </w:r>
      <w:r>
        <w:rPr>
          <w:rFonts w:hint="eastAsia"/>
          <w:lang w:val="en-US" w:eastAsia="zh-CN"/>
        </w:rPr>
        <w:t>草地</w:t>
      </w:r>
      <w:r>
        <w:rPr>
          <w:lang w:val="en-US" w:eastAsia="zh-CN"/>
        </w:rPr>
        <w:t>数据库和地块分布纳入</w:t>
      </w:r>
      <w:r>
        <w:rPr>
          <w:rFonts w:hint="default"/>
          <w:lang w:val="en-US" w:eastAsia="zh-CN"/>
        </w:rPr>
        <w:t>“</w:t>
      </w:r>
      <w:r>
        <w:rPr>
          <w:lang w:val="en-US" w:eastAsia="zh-CN"/>
        </w:rPr>
        <w:t>一张图</w:t>
      </w:r>
      <w:r>
        <w:rPr>
          <w:rFonts w:hint="default"/>
          <w:lang w:val="en-US" w:eastAsia="zh-CN"/>
        </w:rPr>
        <w:t>”</w:t>
      </w:r>
      <w:r>
        <w:rPr>
          <w:lang w:val="en-US" w:eastAsia="zh-CN"/>
        </w:rPr>
        <w:t xml:space="preserve">，列为日常执法动态巡查范围，一旦发生违法用地行为，坚决制止，并恢复原状。 </w:t>
      </w:r>
    </w:p>
    <w:p>
      <w:pPr>
        <w:bidi w:val="0"/>
      </w:pPr>
      <w:r>
        <w:rPr>
          <w:rFonts w:hint="default"/>
          <w:lang w:val="en-US" w:eastAsia="zh-CN"/>
        </w:rPr>
        <w:t>5</w:t>
      </w:r>
      <w:r>
        <w:rPr>
          <w:lang w:val="en-US" w:eastAsia="zh-CN"/>
        </w:rPr>
        <w:t>、建立耕地</w:t>
      </w:r>
      <w:r>
        <w:rPr>
          <w:rFonts w:hint="eastAsia"/>
          <w:lang w:val="en-US" w:eastAsia="zh-CN"/>
        </w:rPr>
        <w:t>草地</w:t>
      </w:r>
      <w:r>
        <w:rPr>
          <w:lang w:val="en-US" w:eastAsia="zh-CN"/>
        </w:rPr>
        <w:t xml:space="preserve">保护奖励机制 </w:t>
      </w:r>
    </w:p>
    <w:p>
      <w:pPr>
        <w:bidi w:val="0"/>
      </w:pPr>
      <w:r>
        <w:rPr>
          <w:lang w:val="en-US" w:eastAsia="zh-CN"/>
        </w:rPr>
        <w:t>全面推行保护激励措施，每年年底经检查验收。制定了项目后期监管员管理办法，要求镇、村两级管护员每年现场管护不少于</w:t>
      </w:r>
      <w:r>
        <w:rPr>
          <w:rFonts w:hint="default"/>
          <w:lang w:val="en-US" w:eastAsia="zh-CN"/>
        </w:rPr>
        <w:t>4</w:t>
      </w:r>
      <w:r>
        <w:rPr>
          <w:lang w:val="en-US" w:eastAsia="zh-CN"/>
        </w:rPr>
        <w:t>次。不符合耕地</w:t>
      </w:r>
      <w:r>
        <w:rPr>
          <w:rFonts w:hint="eastAsia"/>
          <w:lang w:val="en-US" w:eastAsia="zh-CN"/>
        </w:rPr>
        <w:t>草地</w:t>
      </w:r>
      <w:r>
        <w:rPr>
          <w:lang w:val="en-US" w:eastAsia="zh-CN"/>
        </w:rPr>
        <w:t>管理要求的，立即通知项目所在村委会进行整改。对认真负责管护到位的监管员，年终予以奖励，对管护不到位的村，将扣除该年度后期管护经费，做到奖罚分明。</w:t>
      </w:r>
    </w:p>
    <w:bookmarkEnd w:id="233"/>
    <w:p>
      <w:pPr>
        <w:pStyle w:val="2"/>
        <w:bidi w:val="0"/>
        <w:rPr>
          <w:rFonts w:hint="default"/>
        </w:rPr>
      </w:pPr>
      <w:bookmarkStart w:id="234" w:name="_Toc18754"/>
      <w:bookmarkStart w:id="235" w:name="_Toc534300772"/>
      <w:bookmarkStart w:id="236" w:name="_Toc16517"/>
      <w:bookmarkStart w:id="237" w:name="_Toc10081"/>
      <w:bookmarkStart w:id="238" w:name="_Toc21122"/>
      <w:r>
        <w:rPr>
          <w:rFonts w:hint="eastAsia"/>
          <w:lang w:val="en-US" w:eastAsia="zh-CN"/>
        </w:rPr>
        <w:t>第九章</w:t>
      </w:r>
      <w:bookmarkStart w:id="239" w:name="_Toc10338"/>
      <w:r>
        <w:t>社会风险评估</w:t>
      </w:r>
      <w:bookmarkEnd w:id="234"/>
      <w:bookmarkEnd w:id="235"/>
      <w:bookmarkEnd w:id="236"/>
      <w:bookmarkEnd w:id="237"/>
      <w:bookmarkEnd w:id="238"/>
      <w:bookmarkEnd w:id="239"/>
    </w:p>
    <w:p>
      <w:pPr>
        <w:pStyle w:val="3"/>
        <w:bidi w:val="0"/>
        <w:rPr>
          <w:color w:val="auto"/>
          <w:highlight w:val="none"/>
        </w:rPr>
      </w:pPr>
      <w:bookmarkStart w:id="240" w:name="_Toc27695"/>
      <w:bookmarkStart w:id="241" w:name="_Toc22505"/>
      <w:bookmarkStart w:id="242" w:name="_Toc13235"/>
      <w:bookmarkStart w:id="243" w:name="_Toc3328"/>
      <w:r>
        <w:rPr>
          <w:color w:val="auto"/>
          <w:highlight w:val="none"/>
        </w:rPr>
        <w:t>9.1社会稳定风险调查</w:t>
      </w:r>
      <w:bookmarkEnd w:id="240"/>
      <w:bookmarkEnd w:id="241"/>
      <w:bookmarkEnd w:id="242"/>
      <w:bookmarkEnd w:id="243"/>
    </w:p>
    <w:p>
      <w:pPr>
        <w:bidi w:val="0"/>
        <w:ind w:firstLine="560" w:firstLineChars="200"/>
        <w:rPr>
          <w:color w:val="auto"/>
          <w:highlight w:val="none"/>
        </w:rPr>
      </w:pPr>
      <w:r>
        <w:rPr>
          <w:rFonts w:hint="eastAsia"/>
          <w:color w:val="auto"/>
          <w:highlight w:val="none"/>
        </w:rPr>
        <w:t>对项目实施过程中易发生的社会风险的经验判断，并结合本项目的具体情形，项目可能会诱发的异议、损失或不适等诸多社会风险及其评价主要如下：</w:t>
      </w:r>
    </w:p>
    <w:p>
      <w:pPr>
        <w:bidi w:val="0"/>
        <w:ind w:firstLine="560" w:firstLineChars="200"/>
        <w:rPr>
          <w:color w:val="auto"/>
          <w:highlight w:val="none"/>
        </w:rPr>
      </w:pPr>
      <w:r>
        <w:rPr>
          <w:rFonts w:hint="eastAsia"/>
          <w:color w:val="auto"/>
          <w:highlight w:val="none"/>
        </w:rPr>
        <w:t>（</w:t>
      </w:r>
      <w:r>
        <w:rPr>
          <w:rFonts w:hint="eastAsia"/>
          <w:color w:val="auto"/>
          <w:highlight w:val="none"/>
          <w:lang w:val="en-US" w:eastAsia="zh-CN"/>
        </w:rPr>
        <w:t>1</w:t>
      </w:r>
      <w:r>
        <w:rPr>
          <w:rFonts w:hint="eastAsia"/>
          <w:color w:val="auto"/>
          <w:highlight w:val="none"/>
        </w:rPr>
        <w:t>）本项目符合区域经济发展需要及当地利益</w:t>
      </w:r>
    </w:p>
    <w:p>
      <w:pPr>
        <w:bidi w:val="0"/>
        <w:ind w:firstLine="560" w:firstLineChars="200"/>
        <w:rPr>
          <w:rFonts w:hint="eastAsia"/>
          <w:color w:val="auto"/>
          <w:highlight w:val="none"/>
        </w:rPr>
      </w:pPr>
      <w:r>
        <w:rPr>
          <w:rFonts w:hint="eastAsia"/>
          <w:color w:val="auto"/>
          <w:highlight w:val="none"/>
        </w:rPr>
        <w:t>按照“政府组织、协同推进、严格管理、规范操作、因地制宜、分步实施、群众自愿、权益保障”的原则，在积极推进社会主义新农村建设的同时，开展城乡建设用地增减挂钩工作，不但有利于改善农村居民生产生活和居住环境条件，同时能够盘活农村存量建设用地，节约集约利用土地，也是统筹城乡发展、加快新农村建设、优化用地布局的客观要求。</w:t>
      </w:r>
    </w:p>
    <w:p>
      <w:pPr>
        <w:bidi w:val="0"/>
        <w:ind w:firstLine="560" w:firstLineChars="200"/>
        <w:rPr>
          <w:color w:val="auto"/>
          <w:highlight w:val="none"/>
        </w:rPr>
      </w:pPr>
      <w:r>
        <w:rPr>
          <w:rFonts w:hint="eastAsia"/>
          <w:color w:val="auto"/>
          <w:highlight w:val="none"/>
        </w:rPr>
        <w:t>（</w:t>
      </w:r>
      <w:r>
        <w:rPr>
          <w:rFonts w:hint="eastAsia"/>
          <w:color w:val="auto"/>
          <w:highlight w:val="none"/>
          <w:lang w:val="en-US" w:eastAsia="zh-CN"/>
        </w:rPr>
        <w:t>2</w:t>
      </w:r>
      <w:r>
        <w:rPr>
          <w:rFonts w:hint="eastAsia"/>
          <w:color w:val="auto"/>
          <w:highlight w:val="none"/>
        </w:rPr>
        <w:t>）群众抵制的风险</w:t>
      </w:r>
    </w:p>
    <w:p>
      <w:pPr>
        <w:bidi w:val="0"/>
        <w:ind w:firstLine="560" w:firstLineChars="200"/>
        <w:rPr>
          <w:rFonts w:hint="eastAsia"/>
          <w:color w:val="auto"/>
          <w:highlight w:val="none"/>
        </w:rPr>
      </w:pPr>
      <w:r>
        <w:rPr>
          <w:rFonts w:hint="eastAsia"/>
          <w:color w:val="auto"/>
          <w:highlight w:val="none"/>
        </w:rPr>
        <w:t>风险内容：由于</w:t>
      </w:r>
      <w:r>
        <w:rPr>
          <w:rFonts w:hint="eastAsia"/>
          <w:color w:val="auto"/>
          <w:highlight w:val="none"/>
          <w:lang w:val="en-US" w:eastAsia="zh-CN"/>
        </w:rPr>
        <w:t>拆旧</w:t>
      </w:r>
      <w:r>
        <w:rPr>
          <w:rFonts w:hint="eastAsia"/>
          <w:color w:val="auto"/>
          <w:highlight w:val="none"/>
        </w:rPr>
        <w:t>涉及群众的切身利益，加上群众对征地的政策缺乏理解，因此在征地问题上群众往往会与政府站在对立面，以各种形式抵制征地。征地项目中群众最敏感、最担忧的问题是失去土地或者无处居住。</w:t>
      </w:r>
    </w:p>
    <w:p>
      <w:pPr>
        <w:bidi w:val="0"/>
        <w:ind w:firstLine="560" w:firstLineChars="200"/>
        <w:rPr>
          <w:rFonts w:hint="eastAsia"/>
          <w:color w:val="auto"/>
          <w:highlight w:val="none"/>
        </w:rPr>
      </w:pPr>
      <w:r>
        <w:rPr>
          <w:rFonts w:hint="eastAsia"/>
          <w:color w:val="auto"/>
          <w:highlight w:val="none"/>
        </w:rPr>
        <w:t>风险评价：项目区涉及废弃居民点，农牧民已搬迁至移民区</w:t>
      </w:r>
      <w:r>
        <w:rPr>
          <w:rFonts w:hint="eastAsia"/>
          <w:color w:val="auto"/>
          <w:highlight w:val="none"/>
          <w:lang w:val="en-US" w:eastAsia="zh-CN"/>
        </w:rPr>
        <w:t>或已进行过补偿</w:t>
      </w:r>
      <w:r>
        <w:rPr>
          <w:rFonts w:hint="eastAsia"/>
          <w:color w:val="auto"/>
          <w:highlight w:val="none"/>
        </w:rPr>
        <w:t>，群众抵制风险较小。</w:t>
      </w:r>
    </w:p>
    <w:p>
      <w:pPr>
        <w:bidi w:val="0"/>
        <w:ind w:firstLine="560" w:firstLineChars="200"/>
        <w:rPr>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）项目复垦后荒废的风险</w:t>
      </w:r>
    </w:p>
    <w:p>
      <w:pPr>
        <w:bidi w:val="0"/>
        <w:ind w:firstLine="560" w:firstLineChars="200"/>
        <w:rPr>
          <w:rFonts w:hint="eastAsia"/>
          <w:color w:val="auto"/>
          <w:highlight w:val="none"/>
        </w:rPr>
      </w:pPr>
      <w:r>
        <w:rPr>
          <w:rFonts w:hint="eastAsia"/>
          <w:color w:val="auto"/>
          <w:highlight w:val="none"/>
        </w:rPr>
        <w:t>风险内容：该项目复垦为耕地后，能否保证耕地效益有所提高。是否会造成农民种田积极性低，耕地撂荒、无人管护风险高的问题。</w:t>
      </w:r>
    </w:p>
    <w:p>
      <w:pPr>
        <w:bidi w:val="0"/>
        <w:ind w:firstLine="560" w:firstLineChars="200"/>
        <w:rPr>
          <w:rFonts w:hint="eastAsia"/>
          <w:color w:val="auto"/>
          <w:highlight w:val="none"/>
        </w:rPr>
      </w:pPr>
      <w:r>
        <w:rPr>
          <w:rFonts w:hint="eastAsia"/>
          <w:color w:val="auto"/>
          <w:highlight w:val="none"/>
        </w:rPr>
        <w:t>风险评估：根据项目实施的需要后期加强管护和巡检，及时补苗，管护期限为五年。项目复垦为农用地后，自然条件优越，能够充分保障耕地效益，为农民带来可观的经济收入和生态效益。</w:t>
      </w:r>
    </w:p>
    <w:p>
      <w:pPr>
        <w:pStyle w:val="3"/>
        <w:bidi w:val="0"/>
        <w:ind w:firstLine="642" w:firstLineChars="200"/>
        <w:rPr>
          <w:color w:val="auto"/>
          <w:highlight w:val="none"/>
        </w:rPr>
      </w:pPr>
      <w:bookmarkStart w:id="244" w:name="_Toc2"/>
      <w:bookmarkStart w:id="245" w:name="_Toc21156"/>
      <w:bookmarkStart w:id="246" w:name="_Toc619"/>
      <w:bookmarkStart w:id="247" w:name="_Toc15132"/>
      <w:r>
        <w:rPr>
          <w:color w:val="auto"/>
          <w:highlight w:val="none"/>
        </w:rPr>
        <w:t>9.2社会稳定风险综合评价</w:t>
      </w:r>
      <w:bookmarkEnd w:id="244"/>
      <w:bookmarkEnd w:id="245"/>
      <w:bookmarkEnd w:id="246"/>
      <w:bookmarkEnd w:id="247"/>
    </w:p>
    <w:p>
      <w:pPr>
        <w:bidi w:val="0"/>
        <w:ind w:firstLine="560" w:firstLineChars="200"/>
        <w:rPr>
          <w:rFonts w:hint="eastAsia"/>
          <w:color w:val="auto"/>
          <w:highlight w:val="none"/>
        </w:rPr>
      </w:pPr>
      <w:r>
        <w:rPr>
          <w:rFonts w:hint="eastAsia"/>
          <w:color w:val="auto"/>
          <w:highlight w:val="none"/>
        </w:rPr>
        <w:t>本项目实施严格按照《关于进一步规范和完善城乡建设用地增减挂钩项目实施管理工作的通知》（内自然资发〔2019〕519号）、</w:t>
      </w:r>
      <w:r>
        <w:rPr>
          <w:color w:val="auto"/>
          <w:highlight w:val="none"/>
        </w:rPr>
        <w:t>《关于严格规范城乡建设用地增减挂钩工作的通知》（内自然资字[2021]222号）</w:t>
      </w:r>
      <w:r>
        <w:rPr>
          <w:rFonts w:hint="eastAsia"/>
          <w:color w:val="auto"/>
          <w:highlight w:val="none"/>
        </w:rPr>
        <w:t>等相关规范，首先，依据202</w:t>
      </w:r>
      <w:r>
        <w:rPr>
          <w:rFonts w:hint="eastAsia"/>
          <w:color w:val="auto"/>
          <w:highlight w:val="none"/>
          <w:lang w:val="en-US" w:eastAsia="zh-CN"/>
        </w:rPr>
        <w:t>3</w:t>
      </w:r>
      <w:r>
        <w:rPr>
          <w:rFonts w:hint="eastAsia"/>
          <w:color w:val="auto"/>
          <w:highlight w:val="none"/>
        </w:rPr>
        <w:t>年国土调查数据，在编的</w:t>
      </w:r>
      <w:r>
        <w:rPr>
          <w:rFonts w:hint="eastAsia"/>
          <w:color w:val="auto"/>
          <w:highlight w:val="none"/>
          <w:lang w:val="en-US" w:eastAsia="zh-CN"/>
        </w:rPr>
        <w:t>和林格尔县村庄</w:t>
      </w:r>
      <w:r>
        <w:rPr>
          <w:rFonts w:hint="eastAsia"/>
          <w:color w:val="auto"/>
          <w:highlight w:val="none"/>
        </w:rPr>
        <w:t>规划，</w:t>
      </w:r>
      <w:r>
        <w:rPr>
          <w:rFonts w:hint="eastAsia"/>
          <w:color w:val="auto"/>
          <w:highlight w:val="none"/>
          <w:lang w:val="en-US" w:eastAsia="zh-CN"/>
        </w:rPr>
        <w:t>2024年</w:t>
      </w:r>
      <w:r>
        <w:rPr>
          <w:rFonts w:hint="eastAsia"/>
          <w:color w:val="auto"/>
          <w:highlight w:val="none"/>
        </w:rPr>
        <w:t>影像图等数据在</w:t>
      </w:r>
      <w:r>
        <w:rPr>
          <w:rFonts w:hint="eastAsia"/>
          <w:color w:val="auto"/>
          <w:highlight w:val="none"/>
          <w:lang w:eastAsia="zh-CN"/>
        </w:rPr>
        <w:t>全县</w:t>
      </w:r>
      <w:r>
        <w:rPr>
          <w:rFonts w:hint="eastAsia"/>
          <w:color w:val="auto"/>
          <w:highlight w:val="none"/>
        </w:rPr>
        <w:t>范围内选择符合现状，有影像支撑，且不属于违法用地的地块；其次，实地踏勘论证，选择可以实施的地块，复垦方向要与周边地类一致且符合规划；最后，征求</w:t>
      </w:r>
      <w:r>
        <w:rPr>
          <w:color w:val="auto"/>
          <w:highlight w:val="none"/>
        </w:rPr>
        <w:t>农牧民</w:t>
      </w:r>
      <w:r>
        <w:rPr>
          <w:rFonts w:hint="eastAsia"/>
          <w:color w:val="auto"/>
          <w:highlight w:val="none"/>
        </w:rPr>
        <w:t>及村委会意见，核减有疑问有风险地块。</w:t>
      </w:r>
    </w:p>
    <w:p>
      <w:pPr>
        <w:bidi w:val="0"/>
        <w:ind w:firstLine="560" w:firstLineChars="200"/>
        <w:rPr>
          <w:rFonts w:hint="eastAsia"/>
          <w:color w:val="auto"/>
          <w:highlight w:val="none"/>
        </w:rPr>
      </w:pPr>
      <w:r>
        <w:rPr>
          <w:rFonts w:hint="eastAsia"/>
          <w:color w:val="auto"/>
          <w:highlight w:val="none"/>
        </w:rPr>
        <w:t>综上所述，本项目符合相关规范要求，征得</w:t>
      </w:r>
      <w:r>
        <w:rPr>
          <w:color w:val="auto"/>
          <w:highlight w:val="none"/>
        </w:rPr>
        <w:t>农牧民</w:t>
      </w:r>
      <w:r>
        <w:rPr>
          <w:rFonts w:hint="eastAsia"/>
          <w:color w:val="auto"/>
          <w:highlight w:val="none"/>
        </w:rPr>
        <w:t>及村委会同意，程序合理合法，不存在社会风险。</w:t>
      </w:r>
    </w:p>
    <w:p>
      <w:pPr>
        <w:pStyle w:val="3"/>
        <w:bidi w:val="0"/>
        <w:ind w:firstLine="642" w:firstLineChars="200"/>
        <w:rPr>
          <w:color w:val="auto"/>
          <w:highlight w:val="none"/>
          <w:lang w:val="zh-CN"/>
        </w:rPr>
      </w:pPr>
      <w:bookmarkStart w:id="248" w:name="_Toc4340"/>
      <w:bookmarkStart w:id="249" w:name="_Toc15386"/>
      <w:bookmarkStart w:id="250" w:name="_Toc13735"/>
      <w:bookmarkStart w:id="251" w:name="_Toc18519"/>
      <w:r>
        <w:rPr>
          <w:color w:val="auto"/>
          <w:highlight w:val="none"/>
          <w:lang w:val="zh-CN"/>
        </w:rPr>
        <w:t>9.3社会稳定风险防范措施</w:t>
      </w:r>
      <w:bookmarkEnd w:id="248"/>
      <w:bookmarkEnd w:id="249"/>
      <w:bookmarkEnd w:id="250"/>
      <w:bookmarkEnd w:id="251"/>
    </w:p>
    <w:p>
      <w:pPr>
        <w:pStyle w:val="5"/>
        <w:bidi w:val="0"/>
        <w:ind w:firstLine="562" w:firstLineChars="200"/>
        <w:rPr>
          <w:color w:val="auto"/>
          <w:highlight w:val="none"/>
          <w:lang w:val="zh-CN"/>
        </w:rPr>
      </w:pPr>
      <w:r>
        <w:rPr>
          <w:color w:val="auto"/>
          <w:highlight w:val="none"/>
          <w:lang w:val="zh-CN"/>
        </w:rPr>
        <w:t>9.3.1 资金保障风险应对方案</w:t>
      </w:r>
    </w:p>
    <w:p>
      <w:pPr>
        <w:bidi w:val="0"/>
        <w:ind w:firstLine="560" w:firstLineChars="200"/>
        <w:rPr>
          <w:color w:val="auto"/>
          <w:highlight w:val="none"/>
        </w:rPr>
      </w:pPr>
      <w:r>
        <w:rPr>
          <w:color w:val="auto"/>
          <w:highlight w:val="none"/>
        </w:rPr>
        <w:t>本项目的实施资金全部由</w:t>
      </w:r>
      <w:r>
        <w:rPr>
          <w:rFonts w:hint="eastAsia"/>
          <w:color w:val="auto"/>
          <w:highlight w:val="none"/>
          <w:lang w:val="en-US" w:eastAsia="zh-CN"/>
        </w:rPr>
        <w:t>呼和浩特城市交通投资建设集团有限公司</w:t>
      </w:r>
      <w:r>
        <w:rPr>
          <w:color w:val="auto"/>
          <w:highlight w:val="none"/>
        </w:rPr>
        <w:t>承担，不存在资金风险。综合分析资金风险的可能性主要有：</w:t>
      </w:r>
    </w:p>
    <w:p>
      <w:pPr>
        <w:bidi w:val="0"/>
        <w:ind w:firstLine="560" w:firstLineChars="200"/>
        <w:rPr>
          <w:color w:val="auto"/>
          <w:highlight w:val="none"/>
        </w:rPr>
      </w:pPr>
      <w:r>
        <w:rPr>
          <w:color w:val="auto"/>
          <w:highlight w:val="none"/>
        </w:rPr>
        <w:t>资金预算编制不准确，现金预算只能做到年度估算，可能会有人工、价格等少量变化的风险；资金被挪用、欺诈和贪污。针对上述风险，有如下应对措施：</w:t>
      </w:r>
    </w:p>
    <w:p>
      <w:pPr>
        <w:bidi w:val="0"/>
        <w:ind w:firstLine="560" w:firstLineChars="200"/>
        <w:rPr>
          <w:color w:val="auto"/>
          <w:highlight w:val="none"/>
        </w:rPr>
      </w:pPr>
      <w:r>
        <w:rPr>
          <w:color w:val="auto"/>
          <w:highlight w:val="none"/>
        </w:rPr>
        <w:t>（1）本实施方案批复后，建议进一步编制复垦设计和预算方案；</w:t>
      </w:r>
    </w:p>
    <w:p>
      <w:pPr>
        <w:bidi w:val="0"/>
        <w:ind w:firstLine="560" w:firstLineChars="200"/>
        <w:rPr>
          <w:color w:val="auto"/>
          <w:highlight w:val="none"/>
        </w:rPr>
      </w:pPr>
      <w:r>
        <w:rPr>
          <w:color w:val="auto"/>
          <w:highlight w:val="none"/>
        </w:rPr>
        <w:t>（2）</w:t>
      </w:r>
      <w:r>
        <w:rPr>
          <w:rFonts w:hint="eastAsia"/>
          <w:color w:val="auto"/>
          <w:highlight w:val="none"/>
          <w:lang w:val="en-US" w:eastAsia="zh-CN"/>
        </w:rPr>
        <w:t>和林格尔县</w:t>
      </w:r>
      <w:r>
        <w:rPr>
          <w:color w:val="auto"/>
          <w:highlight w:val="none"/>
        </w:rPr>
        <w:t>人民政府统一调度资金，检查、考核资金预算、计划的执行结果，动态监控现金流量，控制资金风险。</w:t>
      </w:r>
    </w:p>
    <w:p>
      <w:pPr>
        <w:pStyle w:val="5"/>
        <w:bidi w:val="0"/>
        <w:ind w:firstLine="562" w:firstLineChars="200"/>
        <w:rPr>
          <w:color w:val="auto"/>
          <w:highlight w:val="none"/>
          <w:lang w:val="zh-CN"/>
        </w:rPr>
      </w:pPr>
      <w:r>
        <w:rPr>
          <w:color w:val="auto"/>
          <w:highlight w:val="none"/>
          <w:lang w:val="zh-CN"/>
        </w:rPr>
        <w:t>9.3.2 后期管护风险应对方案</w:t>
      </w:r>
    </w:p>
    <w:p>
      <w:pPr>
        <w:bidi w:val="0"/>
        <w:ind w:firstLine="560" w:firstLineChars="200"/>
        <w:rPr>
          <w:color w:val="auto"/>
          <w:highlight w:val="none"/>
          <w:lang w:val="zh-CN"/>
        </w:rPr>
      </w:pPr>
      <w:r>
        <w:rPr>
          <w:color w:val="auto"/>
          <w:highlight w:val="none"/>
        </w:rPr>
        <w:t>项目实施后以</w:t>
      </w:r>
      <w:r>
        <w:rPr>
          <w:rFonts w:hint="eastAsia"/>
          <w:color w:val="auto"/>
          <w:highlight w:val="none"/>
        </w:rPr>
        <w:t>乡镇政府</w:t>
      </w:r>
      <w:r>
        <w:rPr>
          <w:color w:val="auto"/>
          <w:highlight w:val="none"/>
        </w:rPr>
        <w:t>为管护主体签订</w:t>
      </w:r>
      <w:r>
        <w:rPr>
          <w:rFonts w:hint="eastAsia"/>
          <w:color w:val="auto"/>
          <w:highlight w:val="none"/>
          <w:lang w:val="en-US" w:eastAsia="zh-CN"/>
        </w:rPr>
        <w:t>三方协议</w:t>
      </w:r>
      <w:r>
        <w:rPr>
          <w:color w:val="auto"/>
          <w:highlight w:val="none"/>
        </w:rPr>
        <w:t>，进行后期管护。并以</w:t>
      </w:r>
      <w:r>
        <w:rPr>
          <w:rFonts w:hint="eastAsia"/>
          <w:color w:val="auto"/>
          <w:highlight w:val="none"/>
          <w:lang w:eastAsia="zh-CN"/>
        </w:rPr>
        <w:t>县</w:t>
      </w:r>
      <w:r>
        <w:rPr>
          <w:color w:val="auto"/>
          <w:highlight w:val="none"/>
        </w:rPr>
        <w:t>自然资源局牵头，制定考核制度，相关部门参加，考核结果作为对管护主体进行奖惩的重要依据。</w:t>
      </w:r>
    </w:p>
    <w:p>
      <w:pPr>
        <w:pStyle w:val="5"/>
        <w:bidi w:val="0"/>
        <w:ind w:firstLine="562" w:firstLineChars="200"/>
        <w:rPr>
          <w:color w:val="auto"/>
          <w:highlight w:val="none"/>
          <w:lang w:val="zh-CN"/>
        </w:rPr>
      </w:pPr>
      <w:r>
        <w:rPr>
          <w:color w:val="auto"/>
          <w:highlight w:val="none"/>
          <w:lang w:val="zh-CN"/>
        </w:rPr>
        <w:t>9.3.3</w:t>
      </w:r>
      <w:r>
        <w:rPr>
          <w:rFonts w:hint="eastAsia"/>
          <w:color w:val="auto"/>
          <w:highlight w:val="none"/>
          <w:lang w:val="zh-CN"/>
        </w:rPr>
        <w:t>耕地荒废</w:t>
      </w:r>
      <w:r>
        <w:rPr>
          <w:color w:val="auto"/>
          <w:highlight w:val="none"/>
          <w:lang w:val="zh-CN"/>
        </w:rPr>
        <w:t>风险应对方案</w:t>
      </w:r>
    </w:p>
    <w:p>
      <w:pPr>
        <w:bidi w:val="0"/>
        <w:ind w:firstLine="560" w:firstLineChars="200"/>
        <w:rPr>
          <w:color w:val="auto"/>
          <w:highlight w:val="none"/>
        </w:rPr>
      </w:pPr>
      <w:r>
        <w:rPr>
          <w:color w:val="auto"/>
          <w:highlight w:val="none"/>
        </w:rPr>
        <w:t>（1）加大政策宣传力度，召开乡村民代表大会，保障农牧民权益，调动农牧民耕种的积极性；</w:t>
      </w:r>
    </w:p>
    <w:p>
      <w:pPr>
        <w:bidi w:val="0"/>
        <w:ind w:firstLine="560" w:firstLineChars="200"/>
        <w:rPr>
          <w:color w:val="auto"/>
          <w:highlight w:val="none"/>
        </w:rPr>
      </w:pPr>
      <w:r>
        <w:rPr>
          <w:color w:val="auto"/>
          <w:highlight w:val="none"/>
        </w:rPr>
        <w:t>（2）项目实施后以</w:t>
      </w:r>
      <w:r>
        <w:rPr>
          <w:rFonts w:hint="eastAsia"/>
          <w:color w:val="auto"/>
          <w:highlight w:val="none"/>
        </w:rPr>
        <w:t>乡镇村</w:t>
      </w:r>
      <w:r>
        <w:rPr>
          <w:color w:val="auto"/>
          <w:highlight w:val="none"/>
        </w:rPr>
        <w:t>为管护主体签订管护协议，</w:t>
      </w:r>
      <w:r>
        <w:rPr>
          <w:rFonts w:hint="eastAsia"/>
          <w:color w:val="auto"/>
          <w:highlight w:val="none"/>
        </w:rPr>
        <w:t>对耕地</w:t>
      </w:r>
      <w:r>
        <w:rPr>
          <w:color w:val="auto"/>
          <w:highlight w:val="none"/>
        </w:rPr>
        <w:t>进行后期管护；</w:t>
      </w:r>
    </w:p>
    <w:p>
      <w:pPr>
        <w:bidi w:val="0"/>
        <w:ind w:firstLine="560" w:firstLineChars="200"/>
        <w:rPr>
          <w:rFonts w:ascii="Times New Roman" w:hAnsi="Times New Roman" w:eastAsia="仿宋_GB2312" w:cs="Times New Roman"/>
          <w:color w:val="auto"/>
          <w:kern w:val="2"/>
          <w:sz w:val="28"/>
          <w:szCs w:val="28"/>
          <w:highlight w:val="none"/>
          <w:lang w:bidi="ar"/>
        </w:rPr>
      </w:pPr>
      <w:r>
        <w:rPr>
          <w:color w:val="auto"/>
          <w:highlight w:val="none"/>
        </w:rPr>
        <w:t>（3）项目组紧密联系和依靠村委会，采取以预防为主的防范措施，如有个别村民有异议，以疏导、说服、化解为主，将问题消除在萌芽中。</w:t>
      </w:r>
      <w:bookmarkStart w:id="252" w:name="_Toc528569808"/>
      <w:bookmarkStart w:id="253" w:name="_Toc31167"/>
      <w:bookmarkStart w:id="254" w:name="_Toc524908187"/>
    </w:p>
    <w:bookmarkEnd w:id="252"/>
    <w:bookmarkEnd w:id="253"/>
    <w:bookmarkEnd w:id="254"/>
    <w:p>
      <w:pPr>
        <w:pStyle w:val="2"/>
        <w:snapToGrid w:val="0"/>
        <w:spacing w:before="240" w:after="120" w:line="360" w:lineRule="auto"/>
        <w:rPr>
          <w:rFonts w:hint="eastAsia" w:eastAsia="仿宋_GB2312"/>
          <w:sz w:val="36"/>
          <w:szCs w:val="36"/>
          <w:highlight w:val="none"/>
        </w:rPr>
      </w:pPr>
      <w:bookmarkStart w:id="255" w:name="_Toc14455"/>
      <w:bookmarkStart w:id="256" w:name="_Toc32219"/>
      <w:bookmarkStart w:id="257" w:name="_Toc28003"/>
      <w:r>
        <w:rPr>
          <w:rFonts w:eastAsia="仿宋_GB2312"/>
          <w:sz w:val="36"/>
          <w:szCs w:val="36"/>
          <w:highlight w:val="none"/>
        </w:rPr>
        <w:br w:type="page"/>
      </w:r>
      <w:bookmarkStart w:id="258" w:name="_Toc18139"/>
      <w:r>
        <w:rPr>
          <w:rFonts w:eastAsia="仿宋_GB2312"/>
          <w:sz w:val="36"/>
          <w:szCs w:val="36"/>
          <w:highlight w:val="none"/>
        </w:rPr>
        <w:t>附件：</w:t>
      </w:r>
      <w:bookmarkEnd w:id="255"/>
      <w:bookmarkEnd w:id="256"/>
      <w:bookmarkEnd w:id="257"/>
      <w:bookmarkEnd w:id="258"/>
    </w:p>
    <w:p>
      <w:pPr>
        <w:bidi w:val="0"/>
      </w:pPr>
      <w:r>
        <w:t>1、</w:t>
      </w:r>
      <w:r>
        <w:rPr>
          <w:rFonts w:hint="eastAsia"/>
          <w:lang w:val="en-US" w:eastAsia="zh-CN"/>
        </w:rPr>
        <w:t>和林格尔县</w:t>
      </w:r>
      <w:r>
        <w:t>人民政府《关于成立</w:t>
      </w:r>
      <w:r>
        <w:rPr>
          <w:rFonts w:hint="eastAsia"/>
          <w:lang w:val="en-US" w:eastAsia="zh-CN"/>
        </w:rPr>
        <w:t>和林格尔县</w:t>
      </w:r>
      <w:r>
        <w:t>202</w:t>
      </w:r>
      <w:r>
        <w:rPr>
          <w:rFonts w:hint="eastAsia"/>
          <w:lang w:val="en-US" w:eastAsia="zh-CN"/>
        </w:rPr>
        <w:t>4</w:t>
      </w:r>
      <w:r>
        <w:t>年城乡建设用地增减挂钩</w:t>
      </w:r>
      <w:r>
        <w:rPr>
          <w:rFonts w:hint="eastAsia"/>
        </w:rPr>
        <w:t>工作</w:t>
      </w:r>
      <w:r>
        <w:t>领导小组</w:t>
      </w:r>
      <w:r>
        <w:rPr>
          <w:rFonts w:hint="eastAsia"/>
        </w:rPr>
        <w:t>的</w:t>
      </w:r>
      <w:r>
        <w:t>通知》</w:t>
      </w:r>
      <w:r>
        <w:rPr>
          <w:rFonts w:hint="eastAsia"/>
          <w:lang w:val="en-US" w:eastAsia="zh-CN"/>
        </w:rPr>
        <w:t>武政办字〔2024〕6号</w:t>
      </w:r>
      <w:r>
        <w:t>；</w:t>
      </w:r>
    </w:p>
    <w:p>
      <w:pPr>
        <w:bidi w:val="0"/>
      </w:pPr>
      <w:r>
        <w:rPr>
          <w:rFonts w:hint="eastAsia"/>
        </w:rPr>
        <w:t>2</w:t>
      </w:r>
      <w:r>
        <w:t>、</w:t>
      </w:r>
      <w:r>
        <w:rPr>
          <w:rFonts w:hint="eastAsia"/>
          <w:lang w:val="en-US" w:eastAsia="zh-CN"/>
        </w:rPr>
        <w:t>和林格尔县</w:t>
      </w:r>
      <w:r>
        <w:t>人民政府关于</w:t>
      </w:r>
      <w:r>
        <w:rPr>
          <w:rFonts w:hint="eastAsia"/>
          <w:lang w:val="en-US" w:eastAsia="zh-CN"/>
        </w:rPr>
        <w:t>印发</w:t>
      </w:r>
      <w:r>
        <w:rPr>
          <w:rFonts w:hint="eastAsia"/>
        </w:rPr>
        <w:t>《</w:t>
      </w:r>
      <w:r>
        <w:rPr>
          <w:rFonts w:hint="eastAsia"/>
          <w:lang w:eastAsia="zh-CN"/>
        </w:rPr>
        <w:t>和林格尔县</w:t>
      </w:r>
      <w:r>
        <w:rPr>
          <w:rFonts w:hint="eastAsia"/>
        </w:rPr>
        <w:t>城乡建设用地增减挂钩项目工作方案》</w:t>
      </w:r>
      <w:r>
        <w:rPr>
          <w:rFonts w:hint="eastAsia"/>
          <w:lang w:val="en-US" w:eastAsia="zh-CN"/>
        </w:rPr>
        <w:t>的通知武政办发〔2024〕15号；</w:t>
      </w:r>
    </w:p>
    <w:p>
      <w:pPr>
        <w:bidi w:val="0"/>
      </w:pPr>
      <w:r>
        <w:rPr>
          <w:rFonts w:hint="eastAsia"/>
        </w:rPr>
        <w:t>3</w:t>
      </w:r>
      <w:r>
        <w:t>、</w:t>
      </w:r>
      <w:r>
        <w:rPr>
          <w:rFonts w:hint="eastAsia"/>
          <w:lang w:val="en-US" w:eastAsia="zh-CN"/>
        </w:rPr>
        <w:t>和林格尔县自然资源局</w:t>
      </w:r>
      <w:r>
        <w:t>《</w:t>
      </w:r>
      <w:r>
        <w:rPr>
          <w:rFonts w:hint="eastAsia"/>
        </w:rPr>
        <w:t>关于申请开展2024年度城乡建设用地增减挂钩项目外业踏勘</w:t>
      </w:r>
      <w:r>
        <w:t>》</w:t>
      </w:r>
      <w:r>
        <w:rPr>
          <w:rFonts w:hint="eastAsia"/>
          <w:lang w:val="en-US" w:eastAsia="zh-CN"/>
        </w:rPr>
        <w:t>武自然资发〔2024〕107号</w:t>
      </w:r>
      <w:r>
        <w:t>；</w:t>
      </w:r>
    </w:p>
    <w:p>
      <w:pPr>
        <w:bidi w:val="0"/>
      </w:pPr>
      <w:r>
        <w:rPr>
          <w:rFonts w:hint="eastAsia"/>
        </w:rPr>
        <w:t>4</w:t>
      </w:r>
      <w:r>
        <w:t>、</w:t>
      </w:r>
      <w:r>
        <w:rPr>
          <w:rFonts w:hint="eastAsia"/>
          <w:lang w:val="en-US" w:eastAsia="zh-CN"/>
        </w:rPr>
        <w:t>和林格尔县</w:t>
      </w:r>
      <w:r>
        <w:t>人民政府</w:t>
      </w:r>
      <w:r>
        <w:rPr>
          <w:rFonts w:hint="eastAsia"/>
          <w:lang w:val="en-US" w:eastAsia="zh-CN"/>
        </w:rPr>
        <w:t>关于对</w:t>
      </w:r>
      <w:r>
        <w:rPr>
          <w:rFonts w:hint="eastAsia"/>
        </w:rPr>
        <w:t>《呼和浩特市</w:t>
      </w:r>
      <w:r>
        <w:rPr>
          <w:rFonts w:hint="eastAsia"/>
          <w:lang w:eastAsia="zh-CN"/>
        </w:rPr>
        <w:t>和林格尔县</w:t>
      </w:r>
      <w:r>
        <w:rPr>
          <w:rFonts w:hint="eastAsia"/>
        </w:rPr>
        <w:t>2024年城乡建设用地增减挂钩项目区实施方案》进行审查的报告</w:t>
      </w:r>
      <w:r>
        <w:rPr>
          <w:rFonts w:hint="eastAsia"/>
          <w:lang w:val="en-US" w:eastAsia="zh-CN"/>
        </w:rPr>
        <w:t xml:space="preserve"> 武政发〔2024〕49号</w:t>
      </w:r>
      <w:r>
        <w:t>；</w:t>
      </w:r>
    </w:p>
    <w:p>
      <w:pPr>
        <w:bidi w:val="0"/>
      </w:pPr>
      <w:r>
        <w:rPr>
          <w:rFonts w:hint="eastAsia"/>
          <w:lang w:val="en-US" w:eastAsia="zh-CN"/>
        </w:rPr>
        <w:t>5、和林格尔县</w:t>
      </w:r>
      <w:r>
        <w:t>人民政府</w:t>
      </w:r>
      <w:r>
        <w:rPr>
          <w:rFonts w:hint="eastAsia"/>
          <w:lang w:val="en-US" w:eastAsia="zh-CN"/>
        </w:rPr>
        <w:t>关于对《同意实施和林格尔县2024年城乡建设用地增减挂钩复垦项目的批复》武政批字〔2024〕63号；</w:t>
      </w:r>
    </w:p>
    <w:p>
      <w:pPr>
        <w:bidi w:val="0"/>
      </w:pPr>
      <w:r>
        <w:rPr>
          <w:rFonts w:hint="eastAsia"/>
          <w:lang w:val="en-US" w:eastAsia="zh-CN"/>
        </w:rPr>
        <w:t>6</w:t>
      </w:r>
      <w:r>
        <w:t>、</w:t>
      </w:r>
      <w:r>
        <w:rPr>
          <w:rFonts w:hint="eastAsia"/>
          <w:lang w:val="en-US" w:eastAsia="zh-CN"/>
        </w:rPr>
        <w:t>呼和浩特市自然资源局关于申请《和林格尔县2024年城乡建设用地增减挂钩项目实施方案》评审的请示武自然资发〔2024〕178号</w:t>
      </w:r>
      <w:r>
        <w:t>；</w:t>
      </w:r>
    </w:p>
    <w:p>
      <w:pPr>
        <w:bidi w:val="0"/>
        <w:rPr>
          <w:rFonts w:hint="eastAsia"/>
          <w:lang w:val="en-US" w:eastAsia="zh-CN"/>
        </w:rPr>
      </w:pPr>
      <w:r>
        <w:rPr>
          <w:rFonts w:hint="eastAsia"/>
          <w:lang w:val="en-US" w:eastAsia="zh-CN"/>
        </w:rPr>
        <w:t>7</w:t>
      </w:r>
      <w:r>
        <w:rPr>
          <w:rFonts w:hint="eastAsia"/>
          <w:lang w:eastAsia="zh-CN"/>
        </w:rPr>
        <w:t>、</w:t>
      </w:r>
      <w:r>
        <w:rPr>
          <w:rFonts w:hint="eastAsia"/>
          <w:lang w:val="en-US" w:eastAsia="zh-CN"/>
        </w:rPr>
        <w:t>和林格尔县开展空心村综合整治实施方案；</w:t>
      </w:r>
    </w:p>
    <w:p>
      <w:pPr>
        <w:bidi w:val="0"/>
        <w:rPr>
          <w:rFonts w:hint="eastAsia"/>
          <w:lang w:val="en-US" w:eastAsia="zh-CN"/>
        </w:rPr>
      </w:pPr>
      <w:r>
        <w:rPr>
          <w:rFonts w:hint="eastAsia"/>
          <w:lang w:val="en-US" w:eastAsia="zh-CN"/>
        </w:rPr>
        <w:t>8</w:t>
      </w:r>
      <w:r>
        <w:rPr>
          <w:rFonts w:hint="eastAsia"/>
          <w:lang w:eastAsia="zh-CN"/>
        </w:rPr>
        <w:t>、</w:t>
      </w:r>
      <w:r>
        <w:rPr>
          <w:rFonts w:hint="eastAsia"/>
          <w:lang w:val="en-US" w:eastAsia="zh-CN"/>
        </w:rPr>
        <w:t>《呼和浩特市和林格尔县2024年城乡建设用地增减挂钩项目》拆旧区复垦整理协议书；</w:t>
      </w:r>
    </w:p>
    <w:p>
      <w:pPr>
        <w:bidi w:val="0"/>
        <w:rPr>
          <w:rFonts w:hint="eastAsia"/>
        </w:rPr>
      </w:pPr>
      <w:r>
        <w:rPr>
          <w:rFonts w:hint="eastAsia"/>
          <w:lang w:val="en-US" w:eastAsia="zh-CN"/>
        </w:rPr>
        <w:t>9</w:t>
      </w:r>
      <w:r>
        <w:rPr>
          <w:rFonts w:hint="eastAsia"/>
          <w:lang w:eastAsia="zh-CN"/>
        </w:rPr>
        <w:t>、</w:t>
      </w:r>
      <w:r>
        <w:rPr>
          <w:rFonts w:hint="eastAsia"/>
          <w:lang w:val="en-US" w:eastAsia="zh-CN"/>
        </w:rPr>
        <w:t>和林格尔县</w:t>
      </w:r>
      <w:r>
        <w:t>人民政府</w:t>
      </w:r>
      <w:r>
        <w:rPr>
          <w:rFonts w:hint="eastAsia"/>
          <w:lang w:val="en-US" w:eastAsia="zh-CN"/>
        </w:rPr>
        <w:t>关于增减挂钩项目实施的公告；</w:t>
      </w:r>
    </w:p>
    <w:p>
      <w:pPr>
        <w:bidi w:val="0"/>
        <w:rPr>
          <w:rFonts w:hint="default"/>
          <w:lang w:val="en-US" w:eastAsia="zh-CN"/>
        </w:rPr>
      </w:pPr>
      <w:r>
        <w:rPr>
          <w:rFonts w:hint="eastAsia"/>
          <w:lang w:val="en-US" w:eastAsia="zh-CN"/>
        </w:rPr>
        <w:t>10、关于呼和浩特市和林格尔县2024年城乡建设用地增减挂钩项目区权属情况；</w:t>
      </w:r>
    </w:p>
    <w:p>
      <w:pPr>
        <w:bidi w:val="0"/>
      </w:pPr>
      <w:r>
        <w:rPr>
          <w:rFonts w:hint="eastAsia"/>
          <w:lang w:val="en-US" w:eastAsia="zh-CN"/>
        </w:rPr>
        <w:t>11</w:t>
      </w:r>
      <w:r>
        <w:rPr>
          <w:rFonts w:hint="eastAsia"/>
        </w:rPr>
        <w:t>、</w:t>
      </w:r>
      <w:r>
        <w:rPr>
          <w:rFonts w:hint="eastAsia"/>
          <w:lang w:val="en-US" w:eastAsia="zh-CN"/>
        </w:rPr>
        <w:t>和林格尔县</w:t>
      </w:r>
      <w:r>
        <w:t>人民政府《关于</w:t>
      </w:r>
      <w:r>
        <w:rPr>
          <w:rFonts w:hint="eastAsia"/>
          <w:lang w:val="en-US" w:eastAsia="zh-CN"/>
        </w:rPr>
        <w:t>和林格尔县</w:t>
      </w:r>
      <w:r>
        <w:rPr>
          <w:rFonts w:hint="eastAsia"/>
          <w:lang w:eastAsia="zh-CN"/>
        </w:rPr>
        <w:t>202</w:t>
      </w:r>
      <w:r>
        <w:rPr>
          <w:rFonts w:hint="eastAsia"/>
          <w:lang w:val="en-US" w:eastAsia="zh-CN"/>
        </w:rPr>
        <w:t>4</w:t>
      </w:r>
      <w:r>
        <w:rPr>
          <w:rFonts w:hint="eastAsia"/>
          <w:lang w:eastAsia="zh-CN"/>
        </w:rPr>
        <w:t>年城乡建设用地增减挂钩</w:t>
      </w:r>
      <w:r>
        <w:rPr>
          <w:rFonts w:hint="eastAsia"/>
          <w:lang w:val="en-US" w:eastAsia="zh-CN"/>
        </w:rPr>
        <w:t>工作资金保障的承诺函</w:t>
      </w:r>
      <w:r>
        <w:t>》；</w:t>
      </w:r>
    </w:p>
    <w:p>
      <w:pPr>
        <w:bidi w:val="0"/>
      </w:pPr>
      <w:r>
        <w:rPr>
          <w:rFonts w:hint="eastAsia"/>
          <w:lang w:val="en-US" w:eastAsia="zh-CN"/>
        </w:rPr>
        <w:t>12</w:t>
      </w:r>
      <w:r>
        <w:rPr>
          <w:rFonts w:hint="eastAsia"/>
        </w:rPr>
        <w:t>、</w:t>
      </w:r>
      <w:r>
        <w:rPr>
          <w:rFonts w:hint="eastAsia"/>
          <w:lang w:val="en-US" w:eastAsia="zh-CN"/>
        </w:rPr>
        <w:t>和林格尔县</w:t>
      </w:r>
      <w:r>
        <w:t>人民政府《</w:t>
      </w:r>
      <w:r>
        <w:rPr>
          <w:rFonts w:hint="eastAsia"/>
          <w:lang w:val="en-US" w:eastAsia="zh-CN"/>
        </w:rPr>
        <w:t>和林格尔县</w:t>
      </w:r>
      <w:r>
        <w:rPr>
          <w:rFonts w:hint="eastAsia"/>
          <w:lang w:eastAsia="zh-CN"/>
        </w:rPr>
        <w:t>202</w:t>
      </w:r>
      <w:r>
        <w:rPr>
          <w:rFonts w:hint="eastAsia"/>
          <w:lang w:val="en-US" w:eastAsia="zh-CN"/>
        </w:rPr>
        <w:t>4</w:t>
      </w:r>
      <w:r>
        <w:rPr>
          <w:rFonts w:hint="eastAsia"/>
          <w:lang w:eastAsia="zh-CN"/>
        </w:rPr>
        <w:t>年城乡建设用地增减挂钩</w:t>
      </w:r>
      <w:r>
        <w:rPr>
          <w:rFonts w:hint="eastAsia"/>
          <w:lang w:val="en-US" w:eastAsia="zh-CN"/>
        </w:rPr>
        <w:t>项目区实施承诺书</w:t>
      </w:r>
      <w:r>
        <w:t>》；</w:t>
      </w:r>
    </w:p>
    <w:p>
      <w:pPr>
        <w:bidi w:val="0"/>
        <w:rPr>
          <w:rFonts w:hint="default"/>
          <w:lang w:val="en-US" w:eastAsia="zh-CN"/>
        </w:rPr>
      </w:pPr>
      <w:r>
        <w:rPr>
          <w:rFonts w:hint="eastAsia"/>
          <w:lang w:val="en-US" w:eastAsia="zh-CN"/>
        </w:rPr>
        <w:t>13、和林格尔县</w:t>
      </w:r>
      <w:r>
        <w:rPr>
          <w:rFonts w:hint="default"/>
          <w:lang w:val="en-US" w:eastAsia="zh-CN"/>
        </w:rPr>
        <w:t>202</w:t>
      </w:r>
      <w:r>
        <w:rPr>
          <w:rFonts w:hint="eastAsia"/>
          <w:lang w:val="en-US" w:eastAsia="zh-CN"/>
        </w:rPr>
        <w:t>4年城乡建设用地增减挂钩项目区</w:t>
      </w:r>
      <w:r>
        <w:rPr>
          <w:rFonts w:hint="eastAsia"/>
          <w:lang w:eastAsia="zh-CN"/>
        </w:rPr>
        <w:t>农民意愿调查表</w:t>
      </w:r>
      <w:r>
        <w:rPr>
          <w:rFonts w:hint="eastAsia"/>
          <w:lang w:val="en-US" w:eastAsia="zh-CN"/>
        </w:rPr>
        <w:t>；</w:t>
      </w:r>
    </w:p>
    <w:p>
      <w:pPr>
        <w:bidi w:val="0"/>
      </w:pPr>
      <w:r>
        <w:rPr>
          <w:rFonts w:hint="eastAsia"/>
          <w:lang w:val="en-US" w:eastAsia="zh-CN"/>
        </w:rPr>
        <w:t>14、和林格尔县</w:t>
      </w:r>
      <w:r>
        <w:t>人民政府《关于</w:t>
      </w:r>
      <w:r>
        <w:rPr>
          <w:rFonts w:hint="eastAsia"/>
          <w:lang w:val="en-US" w:eastAsia="zh-CN"/>
        </w:rPr>
        <w:t>&lt;呼和浩特市和林格尔县</w:t>
      </w:r>
      <w:r>
        <w:rPr>
          <w:rFonts w:hint="eastAsia"/>
          <w:lang w:eastAsia="zh-CN"/>
        </w:rPr>
        <w:t>202</w:t>
      </w:r>
      <w:r>
        <w:rPr>
          <w:rFonts w:hint="eastAsia"/>
          <w:lang w:val="en-US" w:eastAsia="zh-CN"/>
        </w:rPr>
        <w:t>4</w:t>
      </w:r>
      <w:r>
        <w:rPr>
          <w:rFonts w:hint="eastAsia"/>
          <w:lang w:eastAsia="zh-CN"/>
        </w:rPr>
        <w:t>年城乡建设用地增减挂钩项目</w:t>
      </w:r>
      <w:r>
        <w:rPr>
          <w:rFonts w:hint="eastAsia"/>
          <w:lang w:val="en-US" w:eastAsia="zh-CN"/>
        </w:rPr>
        <w:t>区实施方案&gt;拆旧区地块不存在违法耕地、不位于生态红线范围内等情况说明</w:t>
      </w:r>
      <w:r>
        <w:t>》；</w:t>
      </w:r>
    </w:p>
    <w:p>
      <w:pPr>
        <w:bidi w:val="0"/>
        <w:rPr>
          <w:rFonts w:hint="eastAsia" w:eastAsia="仿宋_GB2312"/>
          <w:szCs w:val="28"/>
          <w:highlight w:val="none"/>
          <w:lang w:val="en-US" w:eastAsia="zh-CN"/>
        </w:rPr>
      </w:pPr>
      <w:r>
        <w:rPr>
          <w:rFonts w:hint="eastAsia"/>
          <w:lang w:val="en-US" w:eastAsia="zh-CN"/>
        </w:rPr>
        <w:t>15、和林格尔县农科局、林草局、生态局、水利局关于</w:t>
      </w:r>
      <w:r>
        <w:t>《</w:t>
      </w:r>
      <w:r>
        <w:rPr>
          <w:rFonts w:hint="eastAsia"/>
          <w:lang w:val="en-US" w:eastAsia="zh-CN"/>
        </w:rPr>
        <w:t>和林格尔县</w:t>
      </w:r>
      <w:r>
        <w:rPr>
          <w:rFonts w:hint="eastAsia"/>
          <w:lang w:eastAsia="zh-CN"/>
        </w:rPr>
        <w:t>202</w:t>
      </w:r>
      <w:r>
        <w:rPr>
          <w:rFonts w:hint="eastAsia"/>
          <w:lang w:val="en-US" w:eastAsia="zh-CN"/>
        </w:rPr>
        <w:t>4</w:t>
      </w:r>
      <w:r>
        <w:rPr>
          <w:rFonts w:hint="eastAsia"/>
          <w:lang w:eastAsia="zh-CN"/>
        </w:rPr>
        <w:t>年城乡建设用地增减挂钩</w:t>
      </w:r>
      <w:r>
        <w:rPr>
          <w:rFonts w:hint="eastAsia"/>
          <w:lang w:val="en-US" w:eastAsia="zh-CN"/>
        </w:rPr>
        <w:t>工作方案</w:t>
      </w:r>
      <w:r>
        <w:t>》</w:t>
      </w:r>
      <w:r>
        <w:rPr>
          <w:rFonts w:hint="eastAsia"/>
          <w:lang w:val="en-US" w:eastAsia="zh-CN"/>
        </w:rPr>
        <w:t>征求意见的回函；</w:t>
      </w:r>
    </w:p>
    <w:p>
      <w:pPr>
        <w:bidi w:val="0"/>
        <w:rPr>
          <w:rFonts w:hint="eastAsia"/>
          <w:highlight w:val="none"/>
          <w:lang w:val="en-US" w:eastAsia="zh-CN"/>
        </w:rPr>
      </w:pPr>
      <w:r>
        <w:rPr>
          <w:rFonts w:hint="eastAsia" w:eastAsia="仿宋_GB2312"/>
          <w:szCs w:val="28"/>
          <w:highlight w:val="none"/>
          <w:lang w:val="en-US" w:eastAsia="zh-CN"/>
        </w:rPr>
        <w:t>16、</w:t>
      </w:r>
      <w:r>
        <w:rPr>
          <w:rFonts w:hint="eastAsia"/>
          <w:highlight w:val="none"/>
          <w:lang w:val="en-US" w:eastAsia="zh-CN"/>
        </w:rPr>
        <w:t>呼和浩特市自然资源局关于审批《和林格尔县 2024 年度城乡建设用地增减挂钩项日实施方案》呼自然资发〔2024〕426 号的请示</w:t>
      </w:r>
    </w:p>
    <w:p>
      <w:pPr>
        <w:pStyle w:val="8"/>
        <w:ind w:left="0" w:leftChars="0" w:firstLine="560" w:firstLineChars="200"/>
        <w:rPr>
          <w:rFonts w:hint="eastAsia" w:ascii="Times New Roman" w:hAnsi="Times New Roman" w:eastAsia="仿宋" w:cs="Times New Roman"/>
          <w:kern w:val="2"/>
          <w:sz w:val="28"/>
          <w:szCs w:val="24"/>
          <w:highlight w:val="none"/>
          <w:lang w:val="en-US" w:eastAsia="zh-CN" w:bidi="ar-SA"/>
        </w:rPr>
      </w:pPr>
      <w:r>
        <w:rPr>
          <w:rFonts w:hint="default" w:ascii="Times New Roman" w:hAnsi="Times New Roman" w:eastAsia="仿宋" w:cs="Times New Roman"/>
          <w:kern w:val="2"/>
          <w:sz w:val="28"/>
          <w:szCs w:val="24"/>
          <w:highlight w:val="none"/>
          <w:lang w:val="en-US" w:eastAsia="zh-CN" w:bidi="ar-SA"/>
        </w:rPr>
        <w:t>17</w:t>
      </w:r>
      <w:r>
        <w:rPr>
          <w:rFonts w:hint="eastAsia" w:ascii="Times New Roman" w:hAnsi="Times New Roman" w:eastAsia="仿宋" w:cs="Times New Roman"/>
          <w:kern w:val="2"/>
          <w:sz w:val="28"/>
          <w:szCs w:val="24"/>
          <w:highlight w:val="none"/>
          <w:lang w:val="en-US" w:eastAsia="zh-CN" w:bidi="ar-SA"/>
        </w:rPr>
        <w:t>、呼和浩特市自然资源局关于和林格尔县2024年度城乡建设用地增减挂钩项目区现场踏勘意见；</w:t>
      </w:r>
    </w:p>
    <w:p>
      <w:pPr>
        <w:pStyle w:val="2"/>
        <w:snapToGrid w:val="0"/>
        <w:spacing w:before="240" w:after="120" w:line="360" w:lineRule="auto"/>
        <w:rPr>
          <w:rFonts w:hint="eastAsia" w:eastAsia="仿宋_GB2312"/>
          <w:sz w:val="36"/>
          <w:szCs w:val="36"/>
          <w:highlight w:val="none"/>
        </w:rPr>
      </w:pPr>
      <w:bookmarkStart w:id="259" w:name="_Toc123"/>
      <w:bookmarkStart w:id="260" w:name="_Toc363651437"/>
      <w:bookmarkStart w:id="261" w:name="_Toc22836"/>
      <w:bookmarkStart w:id="262" w:name="_Toc7567"/>
      <w:bookmarkStart w:id="263" w:name="_Toc30834"/>
      <w:bookmarkStart w:id="264" w:name="_Toc363651353"/>
      <w:bookmarkStart w:id="265" w:name="_Toc363651268"/>
      <w:r>
        <w:rPr>
          <w:rFonts w:eastAsia="仿宋_GB2312"/>
          <w:sz w:val="36"/>
          <w:szCs w:val="36"/>
          <w:highlight w:val="none"/>
        </w:rPr>
        <w:t>附图：</w:t>
      </w:r>
      <w:bookmarkEnd w:id="259"/>
      <w:bookmarkEnd w:id="260"/>
      <w:bookmarkEnd w:id="261"/>
      <w:bookmarkEnd w:id="262"/>
      <w:bookmarkEnd w:id="263"/>
      <w:bookmarkEnd w:id="264"/>
      <w:bookmarkEnd w:id="265"/>
    </w:p>
    <w:p>
      <w:pPr>
        <w:bidi w:val="0"/>
      </w:pPr>
      <w:bookmarkStart w:id="266" w:name="_Toc1351"/>
      <w:r>
        <w:t>1、</w:t>
      </w:r>
      <w:r>
        <w:rPr>
          <w:rFonts w:hint="eastAsia"/>
          <w:lang w:val="en-US" w:eastAsia="zh-CN"/>
        </w:rPr>
        <w:t>呼和浩特</w:t>
      </w:r>
      <w:r>
        <w:rPr>
          <w:rFonts w:hint="eastAsia"/>
          <w:lang w:eastAsia="zh-CN"/>
        </w:rPr>
        <w:t>市</w:t>
      </w:r>
      <w:r>
        <w:rPr>
          <w:rFonts w:hint="eastAsia"/>
          <w:lang w:val="en-US" w:eastAsia="zh-CN"/>
        </w:rPr>
        <w:t>和林格尔县2025</w:t>
      </w:r>
      <w:r>
        <w:rPr>
          <w:rFonts w:hint="eastAsia"/>
          <w:lang w:eastAsia="zh-CN"/>
        </w:rPr>
        <w:t>年城乡建设用地增减挂钩项目</w:t>
      </w:r>
      <w:r>
        <w:t>土地利用现状图（1:10000标准分幅）；</w:t>
      </w:r>
      <w:bookmarkEnd w:id="266"/>
    </w:p>
    <w:p>
      <w:pPr>
        <w:bidi w:val="0"/>
      </w:pPr>
      <w:bookmarkStart w:id="267" w:name="_Toc22315"/>
      <w:r>
        <w:t>2、</w:t>
      </w:r>
      <w:r>
        <w:rPr>
          <w:rFonts w:hint="eastAsia"/>
          <w:lang w:val="en-US" w:eastAsia="zh-CN"/>
        </w:rPr>
        <w:t>呼和浩特</w:t>
      </w:r>
      <w:r>
        <w:rPr>
          <w:rFonts w:hint="eastAsia"/>
          <w:lang w:eastAsia="zh-CN"/>
        </w:rPr>
        <w:t>市</w:t>
      </w:r>
      <w:r>
        <w:rPr>
          <w:rFonts w:hint="eastAsia"/>
          <w:lang w:val="en-US" w:eastAsia="zh-CN"/>
        </w:rPr>
        <w:t>和林格尔县2025</w:t>
      </w:r>
      <w:r>
        <w:rPr>
          <w:rFonts w:hint="eastAsia"/>
          <w:lang w:eastAsia="zh-CN"/>
        </w:rPr>
        <w:t>年城乡建设用地增减挂钩项目</w:t>
      </w:r>
      <w:r>
        <w:t>区</w:t>
      </w:r>
      <w:r>
        <w:rPr>
          <w:rFonts w:hint="eastAsia"/>
          <w:lang w:val="en-US" w:eastAsia="zh-CN"/>
        </w:rPr>
        <w:t>村庄规划用地布局规划</w:t>
      </w:r>
      <w:r>
        <w:rPr>
          <w:rFonts w:hint="eastAsia"/>
        </w:rPr>
        <w:t>图</w:t>
      </w:r>
      <w:bookmarkEnd w:id="267"/>
      <w:r>
        <w:t>（1:10000标准分幅）；</w:t>
      </w:r>
    </w:p>
    <w:p>
      <w:pPr>
        <w:bidi w:val="0"/>
      </w:pPr>
      <w:r>
        <w:rPr>
          <w:rFonts w:hint="eastAsia"/>
          <w:lang w:val="en-US" w:eastAsia="zh-CN"/>
        </w:rPr>
        <w:t>3</w:t>
      </w:r>
      <w:r>
        <w:t>、</w:t>
      </w:r>
      <w:r>
        <w:rPr>
          <w:rFonts w:hint="eastAsia"/>
          <w:lang w:val="en-US" w:eastAsia="zh-CN"/>
        </w:rPr>
        <w:t>呼和浩特</w:t>
      </w:r>
      <w:r>
        <w:rPr>
          <w:rFonts w:hint="eastAsia"/>
          <w:lang w:eastAsia="zh-CN"/>
        </w:rPr>
        <w:t>市</w:t>
      </w:r>
      <w:r>
        <w:rPr>
          <w:rFonts w:hint="eastAsia"/>
          <w:lang w:val="en-US" w:eastAsia="zh-CN"/>
        </w:rPr>
        <w:t>和林格尔县2025</w:t>
      </w:r>
      <w:r>
        <w:rPr>
          <w:rFonts w:hint="eastAsia"/>
          <w:lang w:eastAsia="zh-CN"/>
        </w:rPr>
        <w:t>年城乡建设用地增减挂钩项目</w:t>
      </w:r>
      <w:r>
        <w:t>区影像图</w:t>
      </w:r>
      <w:r>
        <w:rPr>
          <w:rFonts w:hint="eastAsia"/>
        </w:rPr>
        <w:t>（20</w:t>
      </w:r>
      <w:r>
        <w:rPr>
          <w:rFonts w:hint="eastAsia"/>
          <w:lang w:val="en-US" w:eastAsia="zh-CN"/>
        </w:rPr>
        <w:t>23</w:t>
      </w:r>
      <w:r>
        <w:rPr>
          <w:rFonts w:hint="eastAsia"/>
        </w:rPr>
        <w:t>年）</w:t>
      </w:r>
      <w:r>
        <w:t>（1:10000标准分幅）；</w:t>
      </w:r>
    </w:p>
    <w:p>
      <w:pPr>
        <w:bidi w:val="0"/>
        <w:rPr>
          <w:rFonts w:hint="eastAsia"/>
          <w:lang w:eastAsia="zh-CN"/>
        </w:rPr>
      </w:pPr>
      <w:r>
        <w:rPr>
          <w:rFonts w:hint="eastAsia"/>
          <w:lang w:val="en-US" w:eastAsia="zh-CN"/>
        </w:rPr>
        <w:t>4</w:t>
      </w:r>
      <w:r>
        <w:rPr>
          <w:rFonts w:hint="eastAsia"/>
          <w:lang w:eastAsia="zh-CN"/>
        </w:rPr>
        <w:t>、</w:t>
      </w:r>
      <w:r>
        <w:rPr>
          <w:rFonts w:hint="eastAsia"/>
          <w:lang w:val="en-US" w:eastAsia="zh-CN"/>
        </w:rPr>
        <w:t>呼和浩特</w:t>
      </w:r>
      <w:r>
        <w:rPr>
          <w:rFonts w:hint="eastAsia"/>
          <w:lang w:eastAsia="zh-CN"/>
        </w:rPr>
        <w:t>市</w:t>
      </w:r>
      <w:r>
        <w:rPr>
          <w:rFonts w:hint="eastAsia"/>
          <w:lang w:val="en-US" w:eastAsia="zh-CN"/>
        </w:rPr>
        <w:t>和林格尔县2025</w:t>
      </w:r>
      <w:r>
        <w:rPr>
          <w:rFonts w:hint="eastAsia"/>
          <w:lang w:eastAsia="zh-CN"/>
        </w:rPr>
        <w:t>年城乡建设用地增减挂钩项目区</w:t>
      </w:r>
      <w:r>
        <w:rPr>
          <w:rFonts w:hint="eastAsia"/>
          <w:lang w:val="en-US" w:eastAsia="zh-CN"/>
        </w:rPr>
        <w:t>航飞影像</w:t>
      </w:r>
      <w:r>
        <w:rPr>
          <w:rFonts w:hint="eastAsia"/>
          <w:lang w:eastAsia="zh-CN"/>
        </w:rPr>
        <w:t>图（20</w:t>
      </w:r>
      <w:r>
        <w:rPr>
          <w:rFonts w:hint="eastAsia"/>
          <w:lang w:val="en-US" w:eastAsia="zh-CN"/>
        </w:rPr>
        <w:t>24</w:t>
      </w:r>
      <w:r>
        <w:rPr>
          <w:rFonts w:hint="eastAsia"/>
          <w:lang w:eastAsia="zh-CN"/>
        </w:rPr>
        <w:t>年）（1:</w:t>
      </w:r>
      <w:r>
        <w:rPr>
          <w:rFonts w:hint="eastAsia"/>
          <w:lang w:val="en-US" w:eastAsia="zh-CN"/>
        </w:rPr>
        <w:t>2000</w:t>
      </w:r>
      <w:r>
        <w:rPr>
          <w:rFonts w:hint="eastAsia"/>
          <w:lang w:eastAsia="zh-CN"/>
        </w:rPr>
        <w:t>）；</w:t>
      </w:r>
    </w:p>
    <w:p>
      <w:pPr>
        <w:bidi w:val="0"/>
      </w:pPr>
      <w:r>
        <w:rPr>
          <w:rFonts w:hint="eastAsia"/>
          <w:lang w:val="en-US" w:eastAsia="zh-CN"/>
        </w:rPr>
        <w:t>5</w:t>
      </w:r>
      <w:r>
        <w:t>、</w:t>
      </w:r>
      <w:r>
        <w:rPr>
          <w:rFonts w:hint="eastAsia"/>
          <w:lang w:val="en-US" w:eastAsia="zh-CN"/>
        </w:rPr>
        <w:t>呼和浩特</w:t>
      </w:r>
      <w:r>
        <w:rPr>
          <w:rFonts w:hint="eastAsia"/>
          <w:lang w:eastAsia="zh-CN"/>
        </w:rPr>
        <w:t>市</w:t>
      </w:r>
      <w:r>
        <w:rPr>
          <w:rFonts w:hint="eastAsia"/>
          <w:lang w:val="en-US" w:eastAsia="zh-CN"/>
        </w:rPr>
        <w:t>和林格尔县2025</w:t>
      </w:r>
      <w:r>
        <w:rPr>
          <w:rFonts w:hint="eastAsia"/>
          <w:lang w:eastAsia="zh-CN"/>
        </w:rPr>
        <w:t>年城乡建设用地增减挂钩项目</w:t>
      </w:r>
      <w:r>
        <w:t>区</w:t>
      </w:r>
      <w:r>
        <w:rPr>
          <w:rFonts w:hint="eastAsia"/>
        </w:rPr>
        <w:t>勘测定界</w:t>
      </w:r>
      <w:r>
        <w:t>图；</w:t>
      </w:r>
    </w:p>
    <w:p>
      <w:pPr>
        <w:bidi w:val="0"/>
        <w:rPr>
          <w:rFonts w:hint="eastAsia"/>
          <w:highlight w:val="none"/>
          <w:lang w:eastAsia="zh-CN"/>
        </w:rPr>
      </w:pPr>
      <w:r>
        <w:rPr>
          <w:rFonts w:hint="eastAsia"/>
          <w:lang w:val="en-US" w:eastAsia="zh-CN"/>
        </w:rPr>
        <w:t>6</w:t>
      </w:r>
      <w:r>
        <w:t>、</w:t>
      </w:r>
      <w:r>
        <w:rPr>
          <w:rFonts w:hint="eastAsia"/>
          <w:lang w:val="en-US" w:eastAsia="zh-CN"/>
        </w:rPr>
        <w:t>呼和浩特</w:t>
      </w:r>
      <w:r>
        <w:rPr>
          <w:rFonts w:hint="eastAsia"/>
          <w:lang w:eastAsia="zh-CN"/>
        </w:rPr>
        <w:t>市</w:t>
      </w:r>
      <w:r>
        <w:rPr>
          <w:rFonts w:hint="eastAsia"/>
          <w:lang w:val="en-US" w:eastAsia="zh-CN"/>
        </w:rPr>
        <w:t>和林格尔县2025</w:t>
      </w:r>
      <w:r>
        <w:rPr>
          <w:rFonts w:hint="eastAsia"/>
          <w:lang w:eastAsia="zh-CN"/>
        </w:rPr>
        <w:t>年城乡建设用地增减挂钩项目</w:t>
      </w:r>
      <w:r>
        <w:t>区</w:t>
      </w:r>
      <w:r>
        <w:rPr>
          <w:rFonts w:hint="eastAsia"/>
          <w:lang w:val="en-US" w:eastAsia="zh-CN"/>
        </w:rPr>
        <w:t>界址点成果表</w:t>
      </w:r>
      <w:r>
        <w:rPr>
          <w:rFonts w:hint="eastAsia"/>
          <w:lang w:eastAsia="zh-CN"/>
        </w:rPr>
        <w:t>。</w:t>
      </w:r>
    </w:p>
    <w:sectPr>
      <w:pgSz w:w="11905" w:h="16838"/>
      <w:pgMar w:top="1440" w:right="1803" w:bottom="1559" w:left="1803" w:header="851" w:footer="992"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Cambria">
    <w:altName w:val="Noto Sans Syriac Eastern"/>
    <w:panose1 w:val="02040503050406030204"/>
    <w:charset w:val="00"/>
    <w:family w:val="roman"/>
    <w:pitch w:val="default"/>
    <w:sig w:usb0="00000000" w:usb1="00000000"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w:altName w:val="汉仪中宋简"/>
    <w:panose1 w:val="02010600030101010101"/>
    <w:charset w:val="86"/>
    <w:family w:val="auto"/>
    <w:pitch w:val="default"/>
    <w:sig w:usb0="00000000" w:usb1="00000000" w:usb2="00000016" w:usb3="00000000" w:csb0="0004000F" w:csb1="00000000"/>
  </w:font>
  <w:font w:name="AdobeSongStd-Light">
    <w:altName w:val="仿宋_GB2312"/>
    <w:panose1 w:val="00000000000000000000"/>
    <w:charset w:val="86"/>
    <w:family w:val="auto"/>
    <w:pitch w:val="default"/>
    <w:sig w:usb0="00000000" w:usb1="00000000" w:usb2="0000001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278765"/>
              <wp:effectExtent l="0" t="0" r="0" b="0"/>
              <wp:wrapNone/>
              <wp:docPr id="16" name="文本框 27"/>
              <wp:cNvGraphicFramePr/>
              <a:graphic xmlns:a="http://schemas.openxmlformats.org/drawingml/2006/main">
                <a:graphicData uri="http://schemas.microsoft.com/office/word/2010/wordprocessingShape">
                  <wps:wsp>
                    <wps:cNvSpPr txBox="true"/>
                    <wps:spPr>
                      <a:xfrm>
                        <a:off x="0" y="0"/>
                        <a:ext cx="116205" cy="278765"/>
                      </a:xfrm>
                      <a:prstGeom prst="rect">
                        <a:avLst/>
                      </a:prstGeom>
                      <a:noFill/>
                      <a:ln w="6350">
                        <a:noFill/>
                      </a:ln>
                    </wps:spPr>
                    <wps:txbx>
                      <w:txbxContent>
                        <w:p>
                          <w:pPr>
                            <w:pStyle w:val="18"/>
                          </w:pPr>
                          <w:r>
                            <w:fldChar w:fldCharType="begin"/>
                          </w:r>
                          <w:r>
                            <w:instrText xml:space="preserve"> PAGE  \* MERGEFORMAT </w:instrText>
                          </w:r>
                          <w:r>
                            <w:fldChar w:fldCharType="separate"/>
                          </w:r>
                          <w:r>
                            <w:t>51</w:t>
                          </w:r>
                          <w:r>
                            <w:fldChar w:fldCharType="end"/>
                          </w:r>
                        </w:p>
                      </w:txbxContent>
                    </wps:txbx>
                    <wps:bodyPr vert="horz" wrap="none" lIns="0" tIns="0" rIns="0" bIns="0" anchor="t" anchorCtr="false" upright="false">
                      <a:spAutoFit/>
                    </wps:bodyPr>
                  </wps:wsp>
                </a:graphicData>
              </a:graphic>
            </wp:anchor>
          </w:drawing>
        </mc:Choice>
        <mc:Fallback>
          <w:pict>
            <v:shape id="文本框 27" o:spid="_x0000_s1026" o:spt="202" type="#_x0000_t202" style="position:absolute;left:0pt;margin-top:0pt;height:21.95pt;width:9.15pt;mso-position-horizontal:center;mso-position-horizontal-relative:margin;mso-wrap-style:none;z-index:251659264;mso-width-relative:page;mso-height-relative:page;" filled="f" stroked="f" coordsize="21600,21600" o:gfxdata="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L20kGXS&#10;AAAAAwEAAA8AAAAAAAAAAQAgAAAAOAAAAGRycy9kb3ducmV2LnhtbFBLAQIUABQAAAAIAIdO4kBe&#10;JH4M1wEAAIQDAAAOAAAAAAAAAAEAIAAAADcBAABkcnMvZTJvRG9jLnhtbFBLBQYAAAAABgAGAFkB&#10;AACA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keepNext w:val="0"/>
      <w:keepLines w:val="0"/>
      <w:pageBreakBefore w:val="0"/>
      <w:widowControl w:val="0"/>
      <w:kinsoku/>
      <w:wordWrap/>
      <w:overflowPunct/>
      <w:topLinePunct w:val="0"/>
      <w:bidi w:val="0"/>
      <w:adjustRightInd/>
      <w:snapToGrid w:val="0"/>
      <w:spacing w:line="240" w:lineRule="auto"/>
      <w:textAlignment w:val="auto"/>
      <w:rPr>
        <w:rFonts w:hint="eastAsia" w:ascii="仿宋" w:hAnsi="仿宋" w:eastAsia="仿宋" w:cs="仿宋"/>
        <w:sz w:val="21"/>
        <w:szCs w:val="21"/>
      </w:rPr>
    </w:pPr>
    <w:r>
      <w:rPr>
        <w:rFonts w:hint="eastAsia" w:ascii="仿宋" w:hAnsi="仿宋" w:cs="仿宋"/>
        <w:sz w:val="21"/>
        <w:szCs w:val="21"/>
        <w:lang w:val="en-US" w:eastAsia="zh-CN"/>
      </w:rPr>
      <w:t>和林格尔县</w:t>
    </w:r>
    <w:r>
      <w:rPr>
        <w:rFonts w:hint="eastAsia" w:ascii="仿宋" w:hAnsi="仿宋" w:eastAsia="仿宋" w:cs="仿宋"/>
        <w:sz w:val="21"/>
        <w:szCs w:val="21"/>
        <w:lang w:val="en-US" w:eastAsia="zh-CN"/>
      </w:rPr>
      <w:t>202</w:t>
    </w:r>
    <w:r>
      <w:rPr>
        <w:rFonts w:hint="eastAsia" w:ascii="仿宋" w:hAnsi="仿宋" w:cs="仿宋"/>
        <w:sz w:val="21"/>
        <w:szCs w:val="21"/>
        <w:lang w:val="en-US" w:eastAsia="zh-CN"/>
      </w:rPr>
      <w:t>5</w:t>
    </w:r>
    <w:r>
      <w:rPr>
        <w:rFonts w:hint="eastAsia" w:ascii="仿宋" w:hAnsi="仿宋" w:eastAsia="仿宋" w:cs="仿宋"/>
        <w:sz w:val="21"/>
        <w:szCs w:val="21"/>
        <w:lang w:val="en-US" w:eastAsia="zh-CN"/>
      </w:rPr>
      <w:t>年城乡建设用地增减挂钩</w:t>
    </w:r>
    <w:r>
      <w:rPr>
        <w:rFonts w:hint="eastAsia" w:ascii="仿宋" w:hAnsi="仿宋" w:cs="仿宋"/>
        <w:sz w:val="21"/>
        <w:szCs w:val="21"/>
        <w:lang w:val="en-US" w:eastAsia="zh-CN"/>
      </w:rPr>
      <w:t>巧什营镇项目区</w:t>
    </w:r>
    <w:r>
      <w:rPr>
        <w:rFonts w:hint="eastAsia" w:ascii="仿宋" w:hAnsi="仿宋" w:eastAsia="仿宋" w:cs="仿宋"/>
        <w:sz w:val="21"/>
        <w:szCs w:val="21"/>
      </w:rPr>
      <w:t>实施方案</w:t>
    </w:r>
  </w:p>
  <w:p>
    <w:pPr>
      <w:pStyle w:val="19"/>
      <w:pBdr>
        <w:bottom w:val="single" w:color="auto" w:sz="4"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keepNext w:val="0"/>
      <w:keepLines w:val="0"/>
      <w:pageBreakBefore w:val="0"/>
      <w:widowControl w:val="0"/>
      <w:kinsoku/>
      <w:wordWrap/>
      <w:overflowPunct/>
      <w:topLinePunct w:val="0"/>
      <w:bidi w:val="0"/>
      <w:adjustRightInd/>
      <w:snapToGrid w:val="0"/>
      <w:spacing w:line="240" w:lineRule="auto"/>
      <w:textAlignment w:val="auto"/>
      <w:rPr>
        <w:rFonts w:hint="eastAsia" w:ascii="仿宋" w:hAnsi="仿宋" w:eastAsia="仿宋" w:cs="仿宋"/>
        <w:sz w:val="21"/>
        <w:szCs w:val="21"/>
      </w:rPr>
    </w:pPr>
    <w:r>
      <w:rPr>
        <w:rFonts w:hint="eastAsia" w:ascii="仿宋" w:hAnsi="仿宋" w:cs="仿宋"/>
        <w:sz w:val="21"/>
        <w:szCs w:val="21"/>
        <w:lang w:val="en-US" w:eastAsia="zh-CN"/>
      </w:rPr>
      <w:t>和林格尔</w:t>
    </w:r>
    <w:r>
      <w:rPr>
        <w:rFonts w:hint="eastAsia" w:ascii="仿宋" w:hAnsi="仿宋" w:eastAsia="仿宋" w:cs="仿宋"/>
        <w:sz w:val="21"/>
        <w:szCs w:val="21"/>
        <w:lang w:val="en-US" w:eastAsia="zh-CN"/>
      </w:rPr>
      <w:t>202</w:t>
    </w:r>
    <w:r>
      <w:rPr>
        <w:rFonts w:hint="eastAsia" w:ascii="仿宋" w:hAnsi="仿宋" w:cs="仿宋"/>
        <w:sz w:val="21"/>
        <w:szCs w:val="21"/>
        <w:lang w:val="en-US" w:eastAsia="zh-CN"/>
      </w:rPr>
      <w:t>5</w:t>
    </w:r>
    <w:r>
      <w:rPr>
        <w:rFonts w:hint="eastAsia" w:ascii="仿宋" w:hAnsi="仿宋" w:eastAsia="仿宋" w:cs="仿宋"/>
        <w:sz w:val="21"/>
        <w:szCs w:val="21"/>
        <w:lang w:val="en-US" w:eastAsia="zh-CN"/>
      </w:rPr>
      <w:t>年城乡建设用地增减挂钩</w:t>
    </w:r>
    <w:r>
      <w:rPr>
        <w:rFonts w:hint="eastAsia" w:ascii="仿宋" w:hAnsi="仿宋" w:cs="仿宋"/>
        <w:sz w:val="21"/>
        <w:szCs w:val="21"/>
        <w:lang w:val="en-US" w:eastAsia="zh-CN"/>
      </w:rPr>
      <w:t>巧什营镇项目区</w:t>
    </w:r>
    <w:r>
      <w:rPr>
        <w:rFonts w:hint="eastAsia" w:ascii="仿宋" w:hAnsi="仿宋" w:eastAsia="仿宋" w:cs="仿宋"/>
        <w:sz w:val="21"/>
        <w:szCs w:val="21"/>
      </w:rPr>
      <w:t>实施方案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0825F8"/>
    <w:multiLevelType w:val="singleLevel"/>
    <w:tmpl w:val="EE0825F8"/>
    <w:lvl w:ilvl="0" w:tentative="0">
      <w:start w:val="1"/>
      <w:numFmt w:val="decimal"/>
      <w:lvlText w:val="(%1)"/>
      <w:lvlJc w:val="left"/>
      <w:pPr>
        <w:ind w:left="454" w:firstLine="226"/>
      </w:pPr>
      <w:rPr>
        <w:rFonts w:hint="default"/>
      </w:rPr>
    </w:lvl>
  </w:abstractNum>
  <w:abstractNum w:abstractNumId="1">
    <w:nsid w:val="01E2F672"/>
    <w:multiLevelType w:val="singleLevel"/>
    <w:tmpl w:val="01E2F672"/>
    <w:lvl w:ilvl="0" w:tentative="0">
      <w:start w:val="1"/>
      <w:numFmt w:val="decimal"/>
      <w:suff w:val="nothing"/>
      <w:lvlText w:val="(%1)"/>
      <w:lvlJc w:val="left"/>
      <w:pPr>
        <w:ind w:left="425" w:firstLine="255"/>
      </w:pPr>
      <w:rPr>
        <w:rFonts w:hint="default"/>
      </w:rPr>
    </w:lvl>
  </w:abstractNum>
  <w:abstractNum w:abstractNumId="2">
    <w:nsid w:val="79DCCE38"/>
    <w:multiLevelType w:val="singleLevel"/>
    <w:tmpl w:val="79DCCE38"/>
    <w:lvl w:ilvl="0" w:tentative="0">
      <w:start w:val="1"/>
      <w:numFmt w:val="decimalEnclosedCircleChinese"/>
      <w:suff w:val="nothing"/>
      <w:lvlText w:val="%1　"/>
      <w:lvlJc w:val="left"/>
      <w:pPr>
        <w:ind w:left="0" w:firstLine="400"/>
      </w:pPr>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80"/>
  <w:drawingGridVerticalSpacing w:val="-7946"/>
  <w:displayHorizontalDrawingGridEvery w:val="1"/>
  <w:displayVerticalDrawingGridEvery w:val="1"/>
  <w:noPunctuationKerning w:val="true"/>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yYTEzMThkNDM5YjRlOTljMmZjYTBmMTkzNjViNmYifQ=="/>
  </w:docVars>
  <w:rsids>
    <w:rsidRoot w:val="7DEA36B0"/>
    <w:rsid w:val="00000375"/>
    <w:rsid w:val="000008F3"/>
    <w:rsid w:val="00000A93"/>
    <w:rsid w:val="00000BF3"/>
    <w:rsid w:val="00000F13"/>
    <w:rsid w:val="00001043"/>
    <w:rsid w:val="000013D2"/>
    <w:rsid w:val="0000189F"/>
    <w:rsid w:val="00001BEF"/>
    <w:rsid w:val="00001D58"/>
    <w:rsid w:val="00001FB4"/>
    <w:rsid w:val="0000203F"/>
    <w:rsid w:val="0000229A"/>
    <w:rsid w:val="00002407"/>
    <w:rsid w:val="00002816"/>
    <w:rsid w:val="000029B8"/>
    <w:rsid w:val="00002AF6"/>
    <w:rsid w:val="00002D58"/>
    <w:rsid w:val="00002FD4"/>
    <w:rsid w:val="000031D1"/>
    <w:rsid w:val="00003500"/>
    <w:rsid w:val="00003CF2"/>
    <w:rsid w:val="0000436A"/>
    <w:rsid w:val="0000439F"/>
    <w:rsid w:val="0000447B"/>
    <w:rsid w:val="000044BD"/>
    <w:rsid w:val="00004B3D"/>
    <w:rsid w:val="00004CC4"/>
    <w:rsid w:val="00004F9A"/>
    <w:rsid w:val="00005210"/>
    <w:rsid w:val="000052D4"/>
    <w:rsid w:val="000056AA"/>
    <w:rsid w:val="000058B9"/>
    <w:rsid w:val="00005902"/>
    <w:rsid w:val="00005992"/>
    <w:rsid w:val="00005D9B"/>
    <w:rsid w:val="00006A55"/>
    <w:rsid w:val="0000739D"/>
    <w:rsid w:val="00007528"/>
    <w:rsid w:val="0000788C"/>
    <w:rsid w:val="0000793F"/>
    <w:rsid w:val="00010174"/>
    <w:rsid w:val="000102F0"/>
    <w:rsid w:val="00010830"/>
    <w:rsid w:val="0001098A"/>
    <w:rsid w:val="00010C79"/>
    <w:rsid w:val="00011173"/>
    <w:rsid w:val="000112C3"/>
    <w:rsid w:val="0001162C"/>
    <w:rsid w:val="00011787"/>
    <w:rsid w:val="00011B04"/>
    <w:rsid w:val="00012855"/>
    <w:rsid w:val="00012AD9"/>
    <w:rsid w:val="00012CD3"/>
    <w:rsid w:val="00012EE4"/>
    <w:rsid w:val="00013F3B"/>
    <w:rsid w:val="00013F66"/>
    <w:rsid w:val="000146AC"/>
    <w:rsid w:val="00015AD7"/>
    <w:rsid w:val="00015DFC"/>
    <w:rsid w:val="00016686"/>
    <w:rsid w:val="00016AAD"/>
    <w:rsid w:val="00016ACF"/>
    <w:rsid w:val="00016BE3"/>
    <w:rsid w:val="0001704D"/>
    <w:rsid w:val="000175BB"/>
    <w:rsid w:val="00017729"/>
    <w:rsid w:val="00017D1B"/>
    <w:rsid w:val="00020585"/>
    <w:rsid w:val="00020721"/>
    <w:rsid w:val="0002103B"/>
    <w:rsid w:val="000210E0"/>
    <w:rsid w:val="000216B6"/>
    <w:rsid w:val="00021ADC"/>
    <w:rsid w:val="00021D86"/>
    <w:rsid w:val="00021DF5"/>
    <w:rsid w:val="0002200B"/>
    <w:rsid w:val="00022450"/>
    <w:rsid w:val="00022DC0"/>
    <w:rsid w:val="00022F68"/>
    <w:rsid w:val="000231F8"/>
    <w:rsid w:val="000236FF"/>
    <w:rsid w:val="00023F21"/>
    <w:rsid w:val="00024DEE"/>
    <w:rsid w:val="00024F08"/>
    <w:rsid w:val="000255E2"/>
    <w:rsid w:val="00025D07"/>
    <w:rsid w:val="00025FD5"/>
    <w:rsid w:val="00026BE0"/>
    <w:rsid w:val="00027029"/>
    <w:rsid w:val="0002722A"/>
    <w:rsid w:val="00027647"/>
    <w:rsid w:val="0003065B"/>
    <w:rsid w:val="000311BD"/>
    <w:rsid w:val="00031794"/>
    <w:rsid w:val="00031901"/>
    <w:rsid w:val="000328BE"/>
    <w:rsid w:val="00032AF5"/>
    <w:rsid w:val="00032EFB"/>
    <w:rsid w:val="000333DC"/>
    <w:rsid w:val="00033952"/>
    <w:rsid w:val="00033A40"/>
    <w:rsid w:val="000346D8"/>
    <w:rsid w:val="000357B6"/>
    <w:rsid w:val="00035BFA"/>
    <w:rsid w:val="00035DD3"/>
    <w:rsid w:val="00036502"/>
    <w:rsid w:val="00036714"/>
    <w:rsid w:val="0003752D"/>
    <w:rsid w:val="00037CC8"/>
    <w:rsid w:val="00037F89"/>
    <w:rsid w:val="000400A6"/>
    <w:rsid w:val="000401C2"/>
    <w:rsid w:val="00040687"/>
    <w:rsid w:val="00040C27"/>
    <w:rsid w:val="0004134F"/>
    <w:rsid w:val="00041A1C"/>
    <w:rsid w:val="00041EDA"/>
    <w:rsid w:val="0004206C"/>
    <w:rsid w:val="00042126"/>
    <w:rsid w:val="00042A59"/>
    <w:rsid w:val="000433ED"/>
    <w:rsid w:val="000434E2"/>
    <w:rsid w:val="00043D09"/>
    <w:rsid w:val="00043D2D"/>
    <w:rsid w:val="00043ED3"/>
    <w:rsid w:val="0004463B"/>
    <w:rsid w:val="000449D9"/>
    <w:rsid w:val="00045425"/>
    <w:rsid w:val="000455D3"/>
    <w:rsid w:val="000464E9"/>
    <w:rsid w:val="00046D27"/>
    <w:rsid w:val="00046E18"/>
    <w:rsid w:val="00046ECF"/>
    <w:rsid w:val="00047114"/>
    <w:rsid w:val="0004744F"/>
    <w:rsid w:val="00047706"/>
    <w:rsid w:val="000479C9"/>
    <w:rsid w:val="00047CE4"/>
    <w:rsid w:val="0005002F"/>
    <w:rsid w:val="00050187"/>
    <w:rsid w:val="00050C5A"/>
    <w:rsid w:val="00050DE6"/>
    <w:rsid w:val="0005116F"/>
    <w:rsid w:val="0005129D"/>
    <w:rsid w:val="00051699"/>
    <w:rsid w:val="0005194E"/>
    <w:rsid w:val="000522FB"/>
    <w:rsid w:val="0005231A"/>
    <w:rsid w:val="000526CC"/>
    <w:rsid w:val="00052A72"/>
    <w:rsid w:val="00052E4A"/>
    <w:rsid w:val="00052FDD"/>
    <w:rsid w:val="00052FE7"/>
    <w:rsid w:val="0005312A"/>
    <w:rsid w:val="000532A9"/>
    <w:rsid w:val="000532BB"/>
    <w:rsid w:val="00053962"/>
    <w:rsid w:val="00053A74"/>
    <w:rsid w:val="00053D1D"/>
    <w:rsid w:val="000544BA"/>
    <w:rsid w:val="00054529"/>
    <w:rsid w:val="000546F9"/>
    <w:rsid w:val="000550A2"/>
    <w:rsid w:val="000556DC"/>
    <w:rsid w:val="0005623C"/>
    <w:rsid w:val="000563E0"/>
    <w:rsid w:val="00056520"/>
    <w:rsid w:val="00056A7A"/>
    <w:rsid w:val="00056C6F"/>
    <w:rsid w:val="00060495"/>
    <w:rsid w:val="00060F53"/>
    <w:rsid w:val="000616D3"/>
    <w:rsid w:val="000620F0"/>
    <w:rsid w:val="00062898"/>
    <w:rsid w:val="00062A6C"/>
    <w:rsid w:val="00062A84"/>
    <w:rsid w:val="00063013"/>
    <w:rsid w:val="0006311A"/>
    <w:rsid w:val="000632C2"/>
    <w:rsid w:val="000636C2"/>
    <w:rsid w:val="000639EC"/>
    <w:rsid w:val="00064612"/>
    <w:rsid w:val="00064A0A"/>
    <w:rsid w:val="00064C5A"/>
    <w:rsid w:val="00065242"/>
    <w:rsid w:val="00065687"/>
    <w:rsid w:val="00065BC5"/>
    <w:rsid w:val="00065DC9"/>
    <w:rsid w:val="0006602C"/>
    <w:rsid w:val="0006713D"/>
    <w:rsid w:val="0006778B"/>
    <w:rsid w:val="00067A5D"/>
    <w:rsid w:val="000700B3"/>
    <w:rsid w:val="0007065A"/>
    <w:rsid w:val="00070A77"/>
    <w:rsid w:val="000710BE"/>
    <w:rsid w:val="00072108"/>
    <w:rsid w:val="00072505"/>
    <w:rsid w:val="00072BFC"/>
    <w:rsid w:val="00073B31"/>
    <w:rsid w:val="00073B57"/>
    <w:rsid w:val="00073D58"/>
    <w:rsid w:val="00073F39"/>
    <w:rsid w:val="00074014"/>
    <w:rsid w:val="00074382"/>
    <w:rsid w:val="00074D06"/>
    <w:rsid w:val="000751BA"/>
    <w:rsid w:val="00075277"/>
    <w:rsid w:val="000753C1"/>
    <w:rsid w:val="00075538"/>
    <w:rsid w:val="000755EE"/>
    <w:rsid w:val="00075C2E"/>
    <w:rsid w:val="0007603D"/>
    <w:rsid w:val="00076651"/>
    <w:rsid w:val="0007667A"/>
    <w:rsid w:val="00076CDD"/>
    <w:rsid w:val="0007724C"/>
    <w:rsid w:val="00077790"/>
    <w:rsid w:val="00077798"/>
    <w:rsid w:val="0007779C"/>
    <w:rsid w:val="00077B4F"/>
    <w:rsid w:val="00080237"/>
    <w:rsid w:val="00080299"/>
    <w:rsid w:val="00080C07"/>
    <w:rsid w:val="00080DF1"/>
    <w:rsid w:val="00081B4F"/>
    <w:rsid w:val="00081CEC"/>
    <w:rsid w:val="000828B2"/>
    <w:rsid w:val="00082F9E"/>
    <w:rsid w:val="00083E37"/>
    <w:rsid w:val="00084060"/>
    <w:rsid w:val="000843DF"/>
    <w:rsid w:val="00084457"/>
    <w:rsid w:val="00084840"/>
    <w:rsid w:val="000848CB"/>
    <w:rsid w:val="00085591"/>
    <w:rsid w:val="00085777"/>
    <w:rsid w:val="000861DF"/>
    <w:rsid w:val="000863C1"/>
    <w:rsid w:val="00086417"/>
    <w:rsid w:val="00086B6F"/>
    <w:rsid w:val="00086E20"/>
    <w:rsid w:val="00086E57"/>
    <w:rsid w:val="000871AE"/>
    <w:rsid w:val="000875F0"/>
    <w:rsid w:val="00087A84"/>
    <w:rsid w:val="000905AA"/>
    <w:rsid w:val="000907BD"/>
    <w:rsid w:val="00090852"/>
    <w:rsid w:val="0009088A"/>
    <w:rsid w:val="000911F5"/>
    <w:rsid w:val="00091250"/>
    <w:rsid w:val="00091389"/>
    <w:rsid w:val="000917C3"/>
    <w:rsid w:val="00091AD2"/>
    <w:rsid w:val="00091AFD"/>
    <w:rsid w:val="00091B51"/>
    <w:rsid w:val="00091D4E"/>
    <w:rsid w:val="0009220C"/>
    <w:rsid w:val="000924CC"/>
    <w:rsid w:val="000926DD"/>
    <w:rsid w:val="00093116"/>
    <w:rsid w:val="0009376F"/>
    <w:rsid w:val="000938F2"/>
    <w:rsid w:val="000939E6"/>
    <w:rsid w:val="00093C8F"/>
    <w:rsid w:val="00094612"/>
    <w:rsid w:val="0009478A"/>
    <w:rsid w:val="000954B5"/>
    <w:rsid w:val="00095651"/>
    <w:rsid w:val="00095790"/>
    <w:rsid w:val="000968D0"/>
    <w:rsid w:val="00096CF6"/>
    <w:rsid w:val="00097281"/>
    <w:rsid w:val="000977BD"/>
    <w:rsid w:val="00097812"/>
    <w:rsid w:val="000978C7"/>
    <w:rsid w:val="00097958"/>
    <w:rsid w:val="000A064E"/>
    <w:rsid w:val="000A12D0"/>
    <w:rsid w:val="000A1FC2"/>
    <w:rsid w:val="000A2657"/>
    <w:rsid w:val="000A27E4"/>
    <w:rsid w:val="000A2932"/>
    <w:rsid w:val="000A3132"/>
    <w:rsid w:val="000A31DF"/>
    <w:rsid w:val="000A3CAC"/>
    <w:rsid w:val="000A3E4C"/>
    <w:rsid w:val="000A4287"/>
    <w:rsid w:val="000A4D9E"/>
    <w:rsid w:val="000A6A06"/>
    <w:rsid w:val="000A7334"/>
    <w:rsid w:val="000A76F2"/>
    <w:rsid w:val="000A772C"/>
    <w:rsid w:val="000B0342"/>
    <w:rsid w:val="000B08E2"/>
    <w:rsid w:val="000B0966"/>
    <w:rsid w:val="000B0B2B"/>
    <w:rsid w:val="000B10CF"/>
    <w:rsid w:val="000B1E1E"/>
    <w:rsid w:val="000B2754"/>
    <w:rsid w:val="000B2B2D"/>
    <w:rsid w:val="000B30A9"/>
    <w:rsid w:val="000B3CA3"/>
    <w:rsid w:val="000B3F1A"/>
    <w:rsid w:val="000B3F6A"/>
    <w:rsid w:val="000B41EF"/>
    <w:rsid w:val="000B42BD"/>
    <w:rsid w:val="000B459D"/>
    <w:rsid w:val="000B4690"/>
    <w:rsid w:val="000B5076"/>
    <w:rsid w:val="000B549C"/>
    <w:rsid w:val="000B60E1"/>
    <w:rsid w:val="000B6DAD"/>
    <w:rsid w:val="000B6DAE"/>
    <w:rsid w:val="000B6F4B"/>
    <w:rsid w:val="000B71F1"/>
    <w:rsid w:val="000B768A"/>
    <w:rsid w:val="000B77F8"/>
    <w:rsid w:val="000C03E4"/>
    <w:rsid w:val="000C063F"/>
    <w:rsid w:val="000C0887"/>
    <w:rsid w:val="000C0ECE"/>
    <w:rsid w:val="000C1689"/>
    <w:rsid w:val="000C1ED4"/>
    <w:rsid w:val="000C27CC"/>
    <w:rsid w:val="000C2C2F"/>
    <w:rsid w:val="000C2F88"/>
    <w:rsid w:val="000C2FC8"/>
    <w:rsid w:val="000C3161"/>
    <w:rsid w:val="000C3166"/>
    <w:rsid w:val="000C31B4"/>
    <w:rsid w:val="000C365D"/>
    <w:rsid w:val="000C3A8D"/>
    <w:rsid w:val="000C3EA6"/>
    <w:rsid w:val="000C4895"/>
    <w:rsid w:val="000C4A92"/>
    <w:rsid w:val="000C4B9E"/>
    <w:rsid w:val="000C4F3D"/>
    <w:rsid w:val="000C4FE9"/>
    <w:rsid w:val="000C57A0"/>
    <w:rsid w:val="000C5DA8"/>
    <w:rsid w:val="000C6028"/>
    <w:rsid w:val="000C609D"/>
    <w:rsid w:val="000C6DDB"/>
    <w:rsid w:val="000C6FE8"/>
    <w:rsid w:val="000C718B"/>
    <w:rsid w:val="000C7A57"/>
    <w:rsid w:val="000C7CA6"/>
    <w:rsid w:val="000D01BC"/>
    <w:rsid w:val="000D061F"/>
    <w:rsid w:val="000D08D9"/>
    <w:rsid w:val="000D0959"/>
    <w:rsid w:val="000D0A9D"/>
    <w:rsid w:val="000D0B98"/>
    <w:rsid w:val="000D0DDF"/>
    <w:rsid w:val="000D0F95"/>
    <w:rsid w:val="000D167D"/>
    <w:rsid w:val="000D1AAD"/>
    <w:rsid w:val="000D1DEA"/>
    <w:rsid w:val="000D31CD"/>
    <w:rsid w:val="000D4014"/>
    <w:rsid w:val="000D40E7"/>
    <w:rsid w:val="000D434E"/>
    <w:rsid w:val="000D4E6B"/>
    <w:rsid w:val="000D54CC"/>
    <w:rsid w:val="000D568F"/>
    <w:rsid w:val="000D5787"/>
    <w:rsid w:val="000D6C5B"/>
    <w:rsid w:val="000D6D95"/>
    <w:rsid w:val="000D6F91"/>
    <w:rsid w:val="000D7105"/>
    <w:rsid w:val="000D786E"/>
    <w:rsid w:val="000D7F53"/>
    <w:rsid w:val="000E038B"/>
    <w:rsid w:val="000E0721"/>
    <w:rsid w:val="000E0F17"/>
    <w:rsid w:val="000E1321"/>
    <w:rsid w:val="000E1BDB"/>
    <w:rsid w:val="000E269F"/>
    <w:rsid w:val="000E2860"/>
    <w:rsid w:val="000E2867"/>
    <w:rsid w:val="000E2A7F"/>
    <w:rsid w:val="000E2E63"/>
    <w:rsid w:val="000E30BA"/>
    <w:rsid w:val="000E31A7"/>
    <w:rsid w:val="000E326F"/>
    <w:rsid w:val="000E3500"/>
    <w:rsid w:val="000E47EF"/>
    <w:rsid w:val="000E48AF"/>
    <w:rsid w:val="000E491E"/>
    <w:rsid w:val="000E4FA4"/>
    <w:rsid w:val="000E5922"/>
    <w:rsid w:val="000E5BDC"/>
    <w:rsid w:val="000E5C78"/>
    <w:rsid w:val="000E627A"/>
    <w:rsid w:val="000E6F71"/>
    <w:rsid w:val="000F150B"/>
    <w:rsid w:val="000F17CE"/>
    <w:rsid w:val="000F1B7F"/>
    <w:rsid w:val="000F1BF9"/>
    <w:rsid w:val="000F1D60"/>
    <w:rsid w:val="000F1D8F"/>
    <w:rsid w:val="000F24AA"/>
    <w:rsid w:val="000F2E95"/>
    <w:rsid w:val="000F3732"/>
    <w:rsid w:val="000F3D6C"/>
    <w:rsid w:val="000F4933"/>
    <w:rsid w:val="000F5817"/>
    <w:rsid w:val="000F5C20"/>
    <w:rsid w:val="000F6A8C"/>
    <w:rsid w:val="000F6B89"/>
    <w:rsid w:val="000F6C98"/>
    <w:rsid w:val="000F6D77"/>
    <w:rsid w:val="000F6DE0"/>
    <w:rsid w:val="000F7424"/>
    <w:rsid w:val="000F75BE"/>
    <w:rsid w:val="000F7929"/>
    <w:rsid w:val="000F7DDD"/>
    <w:rsid w:val="000F7F35"/>
    <w:rsid w:val="001003EB"/>
    <w:rsid w:val="001003F4"/>
    <w:rsid w:val="00100B46"/>
    <w:rsid w:val="00100BF8"/>
    <w:rsid w:val="00100C18"/>
    <w:rsid w:val="001013B8"/>
    <w:rsid w:val="001013D2"/>
    <w:rsid w:val="0010213F"/>
    <w:rsid w:val="00104408"/>
    <w:rsid w:val="001050F4"/>
    <w:rsid w:val="00105244"/>
    <w:rsid w:val="001053B3"/>
    <w:rsid w:val="00106079"/>
    <w:rsid w:val="001064A5"/>
    <w:rsid w:val="001069B4"/>
    <w:rsid w:val="00107686"/>
    <w:rsid w:val="00107A2B"/>
    <w:rsid w:val="00107AD9"/>
    <w:rsid w:val="00107B5F"/>
    <w:rsid w:val="00111215"/>
    <w:rsid w:val="0011121D"/>
    <w:rsid w:val="0011155C"/>
    <w:rsid w:val="00111612"/>
    <w:rsid w:val="0011176F"/>
    <w:rsid w:val="00111C00"/>
    <w:rsid w:val="00111D11"/>
    <w:rsid w:val="00112CFE"/>
    <w:rsid w:val="0011305C"/>
    <w:rsid w:val="001132D6"/>
    <w:rsid w:val="00113B1D"/>
    <w:rsid w:val="00113C6B"/>
    <w:rsid w:val="001141C3"/>
    <w:rsid w:val="00114285"/>
    <w:rsid w:val="00114F42"/>
    <w:rsid w:val="001156B8"/>
    <w:rsid w:val="00115E71"/>
    <w:rsid w:val="001162EC"/>
    <w:rsid w:val="001204CE"/>
    <w:rsid w:val="001206CB"/>
    <w:rsid w:val="001207B7"/>
    <w:rsid w:val="00120863"/>
    <w:rsid w:val="00120BEC"/>
    <w:rsid w:val="00121034"/>
    <w:rsid w:val="00121CC7"/>
    <w:rsid w:val="00121ECB"/>
    <w:rsid w:val="001221A9"/>
    <w:rsid w:val="00122D2E"/>
    <w:rsid w:val="0012343B"/>
    <w:rsid w:val="001235F5"/>
    <w:rsid w:val="001237BD"/>
    <w:rsid w:val="0012397C"/>
    <w:rsid w:val="00123AB5"/>
    <w:rsid w:val="00123C45"/>
    <w:rsid w:val="00123E95"/>
    <w:rsid w:val="00124462"/>
    <w:rsid w:val="00124BE0"/>
    <w:rsid w:val="00124D9D"/>
    <w:rsid w:val="00126115"/>
    <w:rsid w:val="0012633B"/>
    <w:rsid w:val="0012727F"/>
    <w:rsid w:val="00127CD3"/>
    <w:rsid w:val="00127ED4"/>
    <w:rsid w:val="00130831"/>
    <w:rsid w:val="00130E39"/>
    <w:rsid w:val="0013167D"/>
    <w:rsid w:val="001316DD"/>
    <w:rsid w:val="0013226A"/>
    <w:rsid w:val="00132317"/>
    <w:rsid w:val="001323B0"/>
    <w:rsid w:val="00132DB0"/>
    <w:rsid w:val="00132EB0"/>
    <w:rsid w:val="00132F16"/>
    <w:rsid w:val="001337CB"/>
    <w:rsid w:val="00133BCD"/>
    <w:rsid w:val="001340D8"/>
    <w:rsid w:val="00134939"/>
    <w:rsid w:val="00134A62"/>
    <w:rsid w:val="00134D53"/>
    <w:rsid w:val="00134FF9"/>
    <w:rsid w:val="0013562B"/>
    <w:rsid w:val="001366C3"/>
    <w:rsid w:val="0013703F"/>
    <w:rsid w:val="001376DA"/>
    <w:rsid w:val="00137CD0"/>
    <w:rsid w:val="001401D5"/>
    <w:rsid w:val="00140469"/>
    <w:rsid w:val="001409FF"/>
    <w:rsid w:val="00140DD7"/>
    <w:rsid w:val="00140E74"/>
    <w:rsid w:val="0014173E"/>
    <w:rsid w:val="001418ED"/>
    <w:rsid w:val="00141B43"/>
    <w:rsid w:val="00141E8C"/>
    <w:rsid w:val="00142266"/>
    <w:rsid w:val="0014235C"/>
    <w:rsid w:val="00143756"/>
    <w:rsid w:val="00143EDC"/>
    <w:rsid w:val="001449C6"/>
    <w:rsid w:val="00145172"/>
    <w:rsid w:val="0014521D"/>
    <w:rsid w:val="0014575A"/>
    <w:rsid w:val="00145831"/>
    <w:rsid w:val="001458DA"/>
    <w:rsid w:val="00145975"/>
    <w:rsid w:val="00145B39"/>
    <w:rsid w:val="00145C40"/>
    <w:rsid w:val="001463BF"/>
    <w:rsid w:val="00146B09"/>
    <w:rsid w:val="00146EB9"/>
    <w:rsid w:val="00146F73"/>
    <w:rsid w:val="001475D4"/>
    <w:rsid w:val="0014764B"/>
    <w:rsid w:val="001502CC"/>
    <w:rsid w:val="00150C36"/>
    <w:rsid w:val="00151710"/>
    <w:rsid w:val="00151B6F"/>
    <w:rsid w:val="00151CAF"/>
    <w:rsid w:val="00152579"/>
    <w:rsid w:val="00152612"/>
    <w:rsid w:val="00152E6F"/>
    <w:rsid w:val="00152EA0"/>
    <w:rsid w:val="0015306D"/>
    <w:rsid w:val="00153156"/>
    <w:rsid w:val="00153752"/>
    <w:rsid w:val="00153E2A"/>
    <w:rsid w:val="001545EA"/>
    <w:rsid w:val="00154B78"/>
    <w:rsid w:val="00154B8D"/>
    <w:rsid w:val="00154DF5"/>
    <w:rsid w:val="00154F64"/>
    <w:rsid w:val="001557C7"/>
    <w:rsid w:val="0015581C"/>
    <w:rsid w:val="00155BEA"/>
    <w:rsid w:val="00155C2B"/>
    <w:rsid w:val="00155DEB"/>
    <w:rsid w:val="00155E44"/>
    <w:rsid w:val="00155FCC"/>
    <w:rsid w:val="0015654E"/>
    <w:rsid w:val="0015687C"/>
    <w:rsid w:val="00156C26"/>
    <w:rsid w:val="00157268"/>
    <w:rsid w:val="00157542"/>
    <w:rsid w:val="00157570"/>
    <w:rsid w:val="00157668"/>
    <w:rsid w:val="00157AFD"/>
    <w:rsid w:val="00157ECA"/>
    <w:rsid w:val="00160BD4"/>
    <w:rsid w:val="00160D38"/>
    <w:rsid w:val="00161066"/>
    <w:rsid w:val="00161947"/>
    <w:rsid w:val="00161BE3"/>
    <w:rsid w:val="00161F8B"/>
    <w:rsid w:val="00162121"/>
    <w:rsid w:val="00162A02"/>
    <w:rsid w:val="00162A9C"/>
    <w:rsid w:val="0016336E"/>
    <w:rsid w:val="001638C5"/>
    <w:rsid w:val="00163EAD"/>
    <w:rsid w:val="00163FA1"/>
    <w:rsid w:val="00164036"/>
    <w:rsid w:val="0016441C"/>
    <w:rsid w:val="00165184"/>
    <w:rsid w:val="0016562E"/>
    <w:rsid w:val="00166420"/>
    <w:rsid w:val="001667ED"/>
    <w:rsid w:val="00166F54"/>
    <w:rsid w:val="001678F8"/>
    <w:rsid w:val="00167CED"/>
    <w:rsid w:val="00167D50"/>
    <w:rsid w:val="0017015C"/>
    <w:rsid w:val="0017033E"/>
    <w:rsid w:val="001703E2"/>
    <w:rsid w:val="001705C5"/>
    <w:rsid w:val="00170DDC"/>
    <w:rsid w:val="001717C1"/>
    <w:rsid w:val="00171C0F"/>
    <w:rsid w:val="001728FF"/>
    <w:rsid w:val="00172B6B"/>
    <w:rsid w:val="00172EB4"/>
    <w:rsid w:val="001730F1"/>
    <w:rsid w:val="00173361"/>
    <w:rsid w:val="001737EA"/>
    <w:rsid w:val="00173F6B"/>
    <w:rsid w:val="00174BBC"/>
    <w:rsid w:val="00174C15"/>
    <w:rsid w:val="00174F96"/>
    <w:rsid w:val="00175384"/>
    <w:rsid w:val="001761C0"/>
    <w:rsid w:val="0017624A"/>
    <w:rsid w:val="001762B8"/>
    <w:rsid w:val="001773BA"/>
    <w:rsid w:val="0017760C"/>
    <w:rsid w:val="001776FC"/>
    <w:rsid w:val="00177BA8"/>
    <w:rsid w:val="00177D41"/>
    <w:rsid w:val="00180418"/>
    <w:rsid w:val="0018043F"/>
    <w:rsid w:val="00180CFB"/>
    <w:rsid w:val="00181029"/>
    <w:rsid w:val="00181314"/>
    <w:rsid w:val="001818FA"/>
    <w:rsid w:val="00181BA1"/>
    <w:rsid w:val="00181C85"/>
    <w:rsid w:val="0018255C"/>
    <w:rsid w:val="00182674"/>
    <w:rsid w:val="001833AE"/>
    <w:rsid w:val="00183578"/>
    <w:rsid w:val="00184576"/>
    <w:rsid w:val="001848D8"/>
    <w:rsid w:val="00184CCC"/>
    <w:rsid w:val="00184D0F"/>
    <w:rsid w:val="00184DFF"/>
    <w:rsid w:val="00185D45"/>
    <w:rsid w:val="00185F9E"/>
    <w:rsid w:val="00186C57"/>
    <w:rsid w:val="001876CE"/>
    <w:rsid w:val="00187CC8"/>
    <w:rsid w:val="00187DE4"/>
    <w:rsid w:val="001908A3"/>
    <w:rsid w:val="00190904"/>
    <w:rsid w:val="0019097F"/>
    <w:rsid w:val="00190C65"/>
    <w:rsid w:val="00191198"/>
    <w:rsid w:val="001917B0"/>
    <w:rsid w:val="0019237D"/>
    <w:rsid w:val="0019256F"/>
    <w:rsid w:val="00192A6B"/>
    <w:rsid w:val="00193DA3"/>
    <w:rsid w:val="00194389"/>
    <w:rsid w:val="0019463D"/>
    <w:rsid w:val="00194FA8"/>
    <w:rsid w:val="001951AC"/>
    <w:rsid w:val="00195768"/>
    <w:rsid w:val="00195AFF"/>
    <w:rsid w:val="00195D97"/>
    <w:rsid w:val="00195DCE"/>
    <w:rsid w:val="00195DFF"/>
    <w:rsid w:val="00195F2A"/>
    <w:rsid w:val="00195FAE"/>
    <w:rsid w:val="0019616C"/>
    <w:rsid w:val="0019651F"/>
    <w:rsid w:val="00196BF9"/>
    <w:rsid w:val="00196C7D"/>
    <w:rsid w:val="001A0EC1"/>
    <w:rsid w:val="001A0FB2"/>
    <w:rsid w:val="001A1199"/>
    <w:rsid w:val="001A1B96"/>
    <w:rsid w:val="001A1BEA"/>
    <w:rsid w:val="001A1E1A"/>
    <w:rsid w:val="001A1E1E"/>
    <w:rsid w:val="001A1E3A"/>
    <w:rsid w:val="001A2262"/>
    <w:rsid w:val="001A269B"/>
    <w:rsid w:val="001A30C4"/>
    <w:rsid w:val="001A31AB"/>
    <w:rsid w:val="001A354D"/>
    <w:rsid w:val="001A38E7"/>
    <w:rsid w:val="001A3C7F"/>
    <w:rsid w:val="001A4664"/>
    <w:rsid w:val="001A47A8"/>
    <w:rsid w:val="001A48E6"/>
    <w:rsid w:val="001A4F78"/>
    <w:rsid w:val="001A5088"/>
    <w:rsid w:val="001A50A2"/>
    <w:rsid w:val="001A57E9"/>
    <w:rsid w:val="001A5A8E"/>
    <w:rsid w:val="001A5CAA"/>
    <w:rsid w:val="001A6A5E"/>
    <w:rsid w:val="001A6DD0"/>
    <w:rsid w:val="001A6F84"/>
    <w:rsid w:val="001A7191"/>
    <w:rsid w:val="001A77F9"/>
    <w:rsid w:val="001A7BE0"/>
    <w:rsid w:val="001B022A"/>
    <w:rsid w:val="001B0831"/>
    <w:rsid w:val="001B092B"/>
    <w:rsid w:val="001B0FD8"/>
    <w:rsid w:val="001B100E"/>
    <w:rsid w:val="001B1334"/>
    <w:rsid w:val="001B176C"/>
    <w:rsid w:val="001B1DC4"/>
    <w:rsid w:val="001B1F33"/>
    <w:rsid w:val="001B228A"/>
    <w:rsid w:val="001B322A"/>
    <w:rsid w:val="001B33D9"/>
    <w:rsid w:val="001B3479"/>
    <w:rsid w:val="001B34C5"/>
    <w:rsid w:val="001B3685"/>
    <w:rsid w:val="001B3855"/>
    <w:rsid w:val="001B3D22"/>
    <w:rsid w:val="001B4095"/>
    <w:rsid w:val="001B4110"/>
    <w:rsid w:val="001B4990"/>
    <w:rsid w:val="001B49F2"/>
    <w:rsid w:val="001B522B"/>
    <w:rsid w:val="001B57F8"/>
    <w:rsid w:val="001B595E"/>
    <w:rsid w:val="001B6595"/>
    <w:rsid w:val="001B6F96"/>
    <w:rsid w:val="001B7BD5"/>
    <w:rsid w:val="001B7D9B"/>
    <w:rsid w:val="001B7E29"/>
    <w:rsid w:val="001C0B8C"/>
    <w:rsid w:val="001C0F34"/>
    <w:rsid w:val="001C0FD7"/>
    <w:rsid w:val="001C196C"/>
    <w:rsid w:val="001C2BB5"/>
    <w:rsid w:val="001C2F22"/>
    <w:rsid w:val="001C353A"/>
    <w:rsid w:val="001C3916"/>
    <w:rsid w:val="001C495A"/>
    <w:rsid w:val="001C4FE5"/>
    <w:rsid w:val="001C5042"/>
    <w:rsid w:val="001C5229"/>
    <w:rsid w:val="001C5396"/>
    <w:rsid w:val="001C5A77"/>
    <w:rsid w:val="001C5CA8"/>
    <w:rsid w:val="001C5DAA"/>
    <w:rsid w:val="001C63FE"/>
    <w:rsid w:val="001C696A"/>
    <w:rsid w:val="001C6B47"/>
    <w:rsid w:val="001C6FAF"/>
    <w:rsid w:val="001C6FF0"/>
    <w:rsid w:val="001C7976"/>
    <w:rsid w:val="001C7A8F"/>
    <w:rsid w:val="001D00C6"/>
    <w:rsid w:val="001D06C2"/>
    <w:rsid w:val="001D095F"/>
    <w:rsid w:val="001D09B0"/>
    <w:rsid w:val="001D10B7"/>
    <w:rsid w:val="001D132D"/>
    <w:rsid w:val="001D1751"/>
    <w:rsid w:val="001D265D"/>
    <w:rsid w:val="001D2ACD"/>
    <w:rsid w:val="001D2C9A"/>
    <w:rsid w:val="001D30E2"/>
    <w:rsid w:val="001D32C7"/>
    <w:rsid w:val="001D33D4"/>
    <w:rsid w:val="001D3F7F"/>
    <w:rsid w:val="001D4126"/>
    <w:rsid w:val="001D446E"/>
    <w:rsid w:val="001D44AE"/>
    <w:rsid w:val="001D46F2"/>
    <w:rsid w:val="001D51F3"/>
    <w:rsid w:val="001D524E"/>
    <w:rsid w:val="001D557B"/>
    <w:rsid w:val="001D58F3"/>
    <w:rsid w:val="001D59F7"/>
    <w:rsid w:val="001D5C35"/>
    <w:rsid w:val="001D5DF0"/>
    <w:rsid w:val="001D5DFD"/>
    <w:rsid w:val="001D5EC5"/>
    <w:rsid w:val="001D6030"/>
    <w:rsid w:val="001D7B83"/>
    <w:rsid w:val="001E02A2"/>
    <w:rsid w:val="001E0937"/>
    <w:rsid w:val="001E0A14"/>
    <w:rsid w:val="001E14C2"/>
    <w:rsid w:val="001E19CC"/>
    <w:rsid w:val="001E2176"/>
    <w:rsid w:val="001E2326"/>
    <w:rsid w:val="001E2412"/>
    <w:rsid w:val="001E3A10"/>
    <w:rsid w:val="001E3BF0"/>
    <w:rsid w:val="001E42C8"/>
    <w:rsid w:val="001E4473"/>
    <w:rsid w:val="001E45DE"/>
    <w:rsid w:val="001E57F9"/>
    <w:rsid w:val="001E59AA"/>
    <w:rsid w:val="001E5AAF"/>
    <w:rsid w:val="001E6914"/>
    <w:rsid w:val="001E6CDA"/>
    <w:rsid w:val="001E6EE0"/>
    <w:rsid w:val="001E716A"/>
    <w:rsid w:val="001E723F"/>
    <w:rsid w:val="001E7481"/>
    <w:rsid w:val="001E7690"/>
    <w:rsid w:val="001E7BA8"/>
    <w:rsid w:val="001F0607"/>
    <w:rsid w:val="001F0AE9"/>
    <w:rsid w:val="001F0E5C"/>
    <w:rsid w:val="001F11EA"/>
    <w:rsid w:val="001F178D"/>
    <w:rsid w:val="001F1CD7"/>
    <w:rsid w:val="001F215A"/>
    <w:rsid w:val="001F2C1A"/>
    <w:rsid w:val="001F2FB9"/>
    <w:rsid w:val="001F32A3"/>
    <w:rsid w:val="001F436B"/>
    <w:rsid w:val="001F47B1"/>
    <w:rsid w:val="001F4912"/>
    <w:rsid w:val="001F53B9"/>
    <w:rsid w:val="001F55FB"/>
    <w:rsid w:val="001F5980"/>
    <w:rsid w:val="001F5FAE"/>
    <w:rsid w:val="001F6079"/>
    <w:rsid w:val="001F62CD"/>
    <w:rsid w:val="001F638D"/>
    <w:rsid w:val="001F63AF"/>
    <w:rsid w:val="001F667E"/>
    <w:rsid w:val="001F6781"/>
    <w:rsid w:val="001F691A"/>
    <w:rsid w:val="001F6B62"/>
    <w:rsid w:val="001F6D3D"/>
    <w:rsid w:val="001F70E8"/>
    <w:rsid w:val="001F738D"/>
    <w:rsid w:val="00200B5F"/>
    <w:rsid w:val="00201000"/>
    <w:rsid w:val="00201FEC"/>
    <w:rsid w:val="00202136"/>
    <w:rsid w:val="002021C5"/>
    <w:rsid w:val="00202254"/>
    <w:rsid w:val="00202F4A"/>
    <w:rsid w:val="00203143"/>
    <w:rsid w:val="00203248"/>
    <w:rsid w:val="0020389D"/>
    <w:rsid w:val="002045DD"/>
    <w:rsid w:val="002047C1"/>
    <w:rsid w:val="00204822"/>
    <w:rsid w:val="00205D39"/>
    <w:rsid w:val="00206299"/>
    <w:rsid w:val="002071D9"/>
    <w:rsid w:val="00207CF0"/>
    <w:rsid w:val="00207F12"/>
    <w:rsid w:val="002112ED"/>
    <w:rsid w:val="0021159F"/>
    <w:rsid w:val="00211783"/>
    <w:rsid w:val="00211BBD"/>
    <w:rsid w:val="00212114"/>
    <w:rsid w:val="0021232F"/>
    <w:rsid w:val="0021295C"/>
    <w:rsid w:val="00212C61"/>
    <w:rsid w:val="00212ED5"/>
    <w:rsid w:val="00213124"/>
    <w:rsid w:val="00213465"/>
    <w:rsid w:val="0021383E"/>
    <w:rsid w:val="0021392D"/>
    <w:rsid w:val="002149DD"/>
    <w:rsid w:val="00214A39"/>
    <w:rsid w:val="00214D95"/>
    <w:rsid w:val="00215043"/>
    <w:rsid w:val="00215C51"/>
    <w:rsid w:val="00215E2B"/>
    <w:rsid w:val="00216478"/>
    <w:rsid w:val="0021655F"/>
    <w:rsid w:val="002169CD"/>
    <w:rsid w:val="00216B5D"/>
    <w:rsid w:val="00217495"/>
    <w:rsid w:val="00217C3E"/>
    <w:rsid w:val="002206A3"/>
    <w:rsid w:val="002206F3"/>
    <w:rsid w:val="002208DC"/>
    <w:rsid w:val="00220F72"/>
    <w:rsid w:val="002214F1"/>
    <w:rsid w:val="00221644"/>
    <w:rsid w:val="00222CC0"/>
    <w:rsid w:val="002231D7"/>
    <w:rsid w:val="00223C8F"/>
    <w:rsid w:val="00223D2F"/>
    <w:rsid w:val="00224DDC"/>
    <w:rsid w:val="00225504"/>
    <w:rsid w:val="00225DD2"/>
    <w:rsid w:val="00226074"/>
    <w:rsid w:val="00226371"/>
    <w:rsid w:val="0022678C"/>
    <w:rsid w:val="002267C1"/>
    <w:rsid w:val="00226994"/>
    <w:rsid w:val="00226C69"/>
    <w:rsid w:val="002270BC"/>
    <w:rsid w:val="002271BC"/>
    <w:rsid w:val="00227213"/>
    <w:rsid w:val="0022722F"/>
    <w:rsid w:val="00227388"/>
    <w:rsid w:val="00227668"/>
    <w:rsid w:val="00227B9A"/>
    <w:rsid w:val="00227BCA"/>
    <w:rsid w:val="002302C6"/>
    <w:rsid w:val="0023035A"/>
    <w:rsid w:val="00230C9B"/>
    <w:rsid w:val="002315DC"/>
    <w:rsid w:val="002317A5"/>
    <w:rsid w:val="00231A32"/>
    <w:rsid w:val="0023223A"/>
    <w:rsid w:val="00232564"/>
    <w:rsid w:val="002327AB"/>
    <w:rsid w:val="00232C0C"/>
    <w:rsid w:val="00233576"/>
    <w:rsid w:val="002339E7"/>
    <w:rsid w:val="00234859"/>
    <w:rsid w:val="00234935"/>
    <w:rsid w:val="002349B6"/>
    <w:rsid w:val="00235028"/>
    <w:rsid w:val="002354BF"/>
    <w:rsid w:val="00235752"/>
    <w:rsid w:val="00235819"/>
    <w:rsid w:val="00235B99"/>
    <w:rsid w:val="0023695B"/>
    <w:rsid w:val="00236BAB"/>
    <w:rsid w:val="00236BF0"/>
    <w:rsid w:val="002374E9"/>
    <w:rsid w:val="002374FE"/>
    <w:rsid w:val="00237538"/>
    <w:rsid w:val="002375F7"/>
    <w:rsid w:val="0023787F"/>
    <w:rsid w:val="0024038A"/>
    <w:rsid w:val="002403EF"/>
    <w:rsid w:val="002406EE"/>
    <w:rsid w:val="002408B1"/>
    <w:rsid w:val="00240D40"/>
    <w:rsid w:val="00241851"/>
    <w:rsid w:val="00241E5C"/>
    <w:rsid w:val="00242216"/>
    <w:rsid w:val="0024294D"/>
    <w:rsid w:val="0024381F"/>
    <w:rsid w:val="00243D7B"/>
    <w:rsid w:val="00243DBC"/>
    <w:rsid w:val="0024438B"/>
    <w:rsid w:val="00244949"/>
    <w:rsid w:val="00245D1A"/>
    <w:rsid w:val="002469B0"/>
    <w:rsid w:val="00247566"/>
    <w:rsid w:val="00247D49"/>
    <w:rsid w:val="00247F77"/>
    <w:rsid w:val="002500BC"/>
    <w:rsid w:val="002507F7"/>
    <w:rsid w:val="00250967"/>
    <w:rsid w:val="00251151"/>
    <w:rsid w:val="00251681"/>
    <w:rsid w:val="00251A3C"/>
    <w:rsid w:val="00251C43"/>
    <w:rsid w:val="002520E3"/>
    <w:rsid w:val="002524D7"/>
    <w:rsid w:val="00252B1D"/>
    <w:rsid w:val="00253A08"/>
    <w:rsid w:val="00254E2D"/>
    <w:rsid w:val="002556A1"/>
    <w:rsid w:val="00255921"/>
    <w:rsid w:val="00255C7B"/>
    <w:rsid w:val="0025671A"/>
    <w:rsid w:val="00256FC0"/>
    <w:rsid w:val="0025777E"/>
    <w:rsid w:val="00257BCF"/>
    <w:rsid w:val="00260D2D"/>
    <w:rsid w:val="00260E7B"/>
    <w:rsid w:val="00260EF9"/>
    <w:rsid w:val="002612A2"/>
    <w:rsid w:val="00261974"/>
    <w:rsid w:val="00261A24"/>
    <w:rsid w:val="00261AB0"/>
    <w:rsid w:val="00261BBF"/>
    <w:rsid w:val="00261BE8"/>
    <w:rsid w:val="00262142"/>
    <w:rsid w:val="002627F7"/>
    <w:rsid w:val="002628F9"/>
    <w:rsid w:val="00262E39"/>
    <w:rsid w:val="00262EE3"/>
    <w:rsid w:val="0026303C"/>
    <w:rsid w:val="002634CB"/>
    <w:rsid w:val="0026415C"/>
    <w:rsid w:val="0026479D"/>
    <w:rsid w:val="00265130"/>
    <w:rsid w:val="00266619"/>
    <w:rsid w:val="00266852"/>
    <w:rsid w:val="00266B28"/>
    <w:rsid w:val="00266D46"/>
    <w:rsid w:val="00266EA6"/>
    <w:rsid w:val="00267145"/>
    <w:rsid w:val="00267340"/>
    <w:rsid w:val="002675D0"/>
    <w:rsid w:val="002704E5"/>
    <w:rsid w:val="002705D3"/>
    <w:rsid w:val="00270977"/>
    <w:rsid w:val="00270F8D"/>
    <w:rsid w:val="00271113"/>
    <w:rsid w:val="002713B6"/>
    <w:rsid w:val="00271710"/>
    <w:rsid w:val="0027194F"/>
    <w:rsid w:val="00271A6B"/>
    <w:rsid w:val="00272B35"/>
    <w:rsid w:val="0027306B"/>
    <w:rsid w:val="00273380"/>
    <w:rsid w:val="00273F96"/>
    <w:rsid w:val="002740EF"/>
    <w:rsid w:val="002741E7"/>
    <w:rsid w:val="00274415"/>
    <w:rsid w:val="00274966"/>
    <w:rsid w:val="00274D10"/>
    <w:rsid w:val="00274E51"/>
    <w:rsid w:val="002753FB"/>
    <w:rsid w:val="00275550"/>
    <w:rsid w:val="0027569D"/>
    <w:rsid w:val="002758FC"/>
    <w:rsid w:val="00276776"/>
    <w:rsid w:val="00276ACE"/>
    <w:rsid w:val="00276C6D"/>
    <w:rsid w:val="00277758"/>
    <w:rsid w:val="00277E6F"/>
    <w:rsid w:val="002804E7"/>
    <w:rsid w:val="0028123A"/>
    <w:rsid w:val="0028141D"/>
    <w:rsid w:val="00281A2F"/>
    <w:rsid w:val="00281AF8"/>
    <w:rsid w:val="00281C55"/>
    <w:rsid w:val="00281C78"/>
    <w:rsid w:val="00282527"/>
    <w:rsid w:val="00282954"/>
    <w:rsid w:val="00282E79"/>
    <w:rsid w:val="0028315B"/>
    <w:rsid w:val="0028348C"/>
    <w:rsid w:val="002834BB"/>
    <w:rsid w:val="00283FC6"/>
    <w:rsid w:val="0028425E"/>
    <w:rsid w:val="00284551"/>
    <w:rsid w:val="00284B4E"/>
    <w:rsid w:val="00284E18"/>
    <w:rsid w:val="00284E28"/>
    <w:rsid w:val="00284EE8"/>
    <w:rsid w:val="0028513F"/>
    <w:rsid w:val="00286270"/>
    <w:rsid w:val="00286997"/>
    <w:rsid w:val="00287FA7"/>
    <w:rsid w:val="00287FD5"/>
    <w:rsid w:val="00290612"/>
    <w:rsid w:val="00291383"/>
    <w:rsid w:val="0029168E"/>
    <w:rsid w:val="002918F8"/>
    <w:rsid w:val="002922E9"/>
    <w:rsid w:val="0029234C"/>
    <w:rsid w:val="0029261D"/>
    <w:rsid w:val="0029281D"/>
    <w:rsid w:val="00292A07"/>
    <w:rsid w:val="00292E8B"/>
    <w:rsid w:val="002938B8"/>
    <w:rsid w:val="00293CE9"/>
    <w:rsid w:val="00294290"/>
    <w:rsid w:val="00294351"/>
    <w:rsid w:val="002949CD"/>
    <w:rsid w:val="00294F7E"/>
    <w:rsid w:val="00295121"/>
    <w:rsid w:val="00295213"/>
    <w:rsid w:val="00295239"/>
    <w:rsid w:val="0029590E"/>
    <w:rsid w:val="00296332"/>
    <w:rsid w:val="00296AE5"/>
    <w:rsid w:val="00296C0E"/>
    <w:rsid w:val="00296C7D"/>
    <w:rsid w:val="00296F49"/>
    <w:rsid w:val="00297011"/>
    <w:rsid w:val="002A00F8"/>
    <w:rsid w:val="002A01EB"/>
    <w:rsid w:val="002A0302"/>
    <w:rsid w:val="002A05DF"/>
    <w:rsid w:val="002A0CEB"/>
    <w:rsid w:val="002A10D8"/>
    <w:rsid w:val="002A1393"/>
    <w:rsid w:val="002A149D"/>
    <w:rsid w:val="002A16C3"/>
    <w:rsid w:val="002A1F57"/>
    <w:rsid w:val="002A242A"/>
    <w:rsid w:val="002A2DBC"/>
    <w:rsid w:val="002A3125"/>
    <w:rsid w:val="002A32C1"/>
    <w:rsid w:val="002A3680"/>
    <w:rsid w:val="002A39DB"/>
    <w:rsid w:val="002A3AAC"/>
    <w:rsid w:val="002A3D73"/>
    <w:rsid w:val="002A3F5C"/>
    <w:rsid w:val="002A40B9"/>
    <w:rsid w:val="002A4129"/>
    <w:rsid w:val="002A440F"/>
    <w:rsid w:val="002A4D37"/>
    <w:rsid w:val="002A4FE2"/>
    <w:rsid w:val="002A51E7"/>
    <w:rsid w:val="002A74D0"/>
    <w:rsid w:val="002A7743"/>
    <w:rsid w:val="002B0DFF"/>
    <w:rsid w:val="002B0E0F"/>
    <w:rsid w:val="002B1F03"/>
    <w:rsid w:val="002B2723"/>
    <w:rsid w:val="002B2828"/>
    <w:rsid w:val="002B2A27"/>
    <w:rsid w:val="002B3520"/>
    <w:rsid w:val="002B354E"/>
    <w:rsid w:val="002B36A9"/>
    <w:rsid w:val="002B3731"/>
    <w:rsid w:val="002B408F"/>
    <w:rsid w:val="002B4EBE"/>
    <w:rsid w:val="002B51D4"/>
    <w:rsid w:val="002B5289"/>
    <w:rsid w:val="002B53D4"/>
    <w:rsid w:val="002B583D"/>
    <w:rsid w:val="002B5A22"/>
    <w:rsid w:val="002B5AE6"/>
    <w:rsid w:val="002B5EC1"/>
    <w:rsid w:val="002B5F58"/>
    <w:rsid w:val="002B60ED"/>
    <w:rsid w:val="002B730D"/>
    <w:rsid w:val="002B7A53"/>
    <w:rsid w:val="002C0399"/>
    <w:rsid w:val="002C0669"/>
    <w:rsid w:val="002C09DF"/>
    <w:rsid w:val="002C0B61"/>
    <w:rsid w:val="002C0C77"/>
    <w:rsid w:val="002C118D"/>
    <w:rsid w:val="002C12CE"/>
    <w:rsid w:val="002C1594"/>
    <w:rsid w:val="002C17A1"/>
    <w:rsid w:val="002C1A08"/>
    <w:rsid w:val="002C1CA4"/>
    <w:rsid w:val="002C214A"/>
    <w:rsid w:val="002C2317"/>
    <w:rsid w:val="002C2560"/>
    <w:rsid w:val="002C275F"/>
    <w:rsid w:val="002C2D55"/>
    <w:rsid w:val="002C317E"/>
    <w:rsid w:val="002C3910"/>
    <w:rsid w:val="002C4361"/>
    <w:rsid w:val="002C4372"/>
    <w:rsid w:val="002C4ACE"/>
    <w:rsid w:val="002C4F7F"/>
    <w:rsid w:val="002C5501"/>
    <w:rsid w:val="002C5FBB"/>
    <w:rsid w:val="002C6B59"/>
    <w:rsid w:val="002C6F42"/>
    <w:rsid w:val="002C6FF6"/>
    <w:rsid w:val="002C7382"/>
    <w:rsid w:val="002C7E47"/>
    <w:rsid w:val="002C7F8D"/>
    <w:rsid w:val="002D0769"/>
    <w:rsid w:val="002D0C8C"/>
    <w:rsid w:val="002D0FD7"/>
    <w:rsid w:val="002D1593"/>
    <w:rsid w:val="002D1650"/>
    <w:rsid w:val="002D1C91"/>
    <w:rsid w:val="002D1E36"/>
    <w:rsid w:val="002D29AC"/>
    <w:rsid w:val="002D2ECF"/>
    <w:rsid w:val="002D30C5"/>
    <w:rsid w:val="002D3358"/>
    <w:rsid w:val="002D33B9"/>
    <w:rsid w:val="002D4930"/>
    <w:rsid w:val="002D4A91"/>
    <w:rsid w:val="002D4C80"/>
    <w:rsid w:val="002D4DB6"/>
    <w:rsid w:val="002D58E3"/>
    <w:rsid w:val="002D5EB9"/>
    <w:rsid w:val="002D5F8C"/>
    <w:rsid w:val="002D6125"/>
    <w:rsid w:val="002D6368"/>
    <w:rsid w:val="002D6630"/>
    <w:rsid w:val="002D6C94"/>
    <w:rsid w:val="002D6CD1"/>
    <w:rsid w:val="002D701D"/>
    <w:rsid w:val="002D71A2"/>
    <w:rsid w:val="002D7247"/>
    <w:rsid w:val="002D77FC"/>
    <w:rsid w:val="002D7939"/>
    <w:rsid w:val="002D7AF6"/>
    <w:rsid w:val="002E00E6"/>
    <w:rsid w:val="002E0156"/>
    <w:rsid w:val="002E0373"/>
    <w:rsid w:val="002E0538"/>
    <w:rsid w:val="002E0934"/>
    <w:rsid w:val="002E0A86"/>
    <w:rsid w:val="002E10E7"/>
    <w:rsid w:val="002E10EC"/>
    <w:rsid w:val="002E13F2"/>
    <w:rsid w:val="002E1CB9"/>
    <w:rsid w:val="002E2102"/>
    <w:rsid w:val="002E2269"/>
    <w:rsid w:val="002E29F2"/>
    <w:rsid w:val="002E2E49"/>
    <w:rsid w:val="002E3515"/>
    <w:rsid w:val="002E3D70"/>
    <w:rsid w:val="002E3E73"/>
    <w:rsid w:val="002E4056"/>
    <w:rsid w:val="002E472C"/>
    <w:rsid w:val="002E5727"/>
    <w:rsid w:val="002E6B92"/>
    <w:rsid w:val="002E6BEC"/>
    <w:rsid w:val="002E717D"/>
    <w:rsid w:val="002E78BF"/>
    <w:rsid w:val="002E7BE8"/>
    <w:rsid w:val="002F00C6"/>
    <w:rsid w:val="002F02D8"/>
    <w:rsid w:val="002F0484"/>
    <w:rsid w:val="002F0DD5"/>
    <w:rsid w:val="002F1486"/>
    <w:rsid w:val="002F1722"/>
    <w:rsid w:val="002F207C"/>
    <w:rsid w:val="002F23B6"/>
    <w:rsid w:val="002F2663"/>
    <w:rsid w:val="002F2734"/>
    <w:rsid w:val="002F2903"/>
    <w:rsid w:val="002F2A48"/>
    <w:rsid w:val="002F2C0D"/>
    <w:rsid w:val="002F2EE9"/>
    <w:rsid w:val="002F39F6"/>
    <w:rsid w:val="002F41E5"/>
    <w:rsid w:val="002F44AF"/>
    <w:rsid w:val="002F5036"/>
    <w:rsid w:val="002F665A"/>
    <w:rsid w:val="002F6952"/>
    <w:rsid w:val="002F7C2B"/>
    <w:rsid w:val="002F7E51"/>
    <w:rsid w:val="0030045D"/>
    <w:rsid w:val="00300465"/>
    <w:rsid w:val="00300EC7"/>
    <w:rsid w:val="00300FC9"/>
    <w:rsid w:val="00301043"/>
    <w:rsid w:val="00301054"/>
    <w:rsid w:val="00301515"/>
    <w:rsid w:val="00301EEB"/>
    <w:rsid w:val="00302072"/>
    <w:rsid w:val="00302425"/>
    <w:rsid w:val="00302BE4"/>
    <w:rsid w:val="00302E65"/>
    <w:rsid w:val="003040D5"/>
    <w:rsid w:val="0030416B"/>
    <w:rsid w:val="00304A89"/>
    <w:rsid w:val="00304CC9"/>
    <w:rsid w:val="00305434"/>
    <w:rsid w:val="0030548B"/>
    <w:rsid w:val="003056F5"/>
    <w:rsid w:val="00305934"/>
    <w:rsid w:val="00305EC1"/>
    <w:rsid w:val="00306700"/>
    <w:rsid w:val="003069CD"/>
    <w:rsid w:val="00306AF0"/>
    <w:rsid w:val="00306E0A"/>
    <w:rsid w:val="00307ABD"/>
    <w:rsid w:val="0031061F"/>
    <w:rsid w:val="00310857"/>
    <w:rsid w:val="00310986"/>
    <w:rsid w:val="00310D43"/>
    <w:rsid w:val="00311712"/>
    <w:rsid w:val="003118A8"/>
    <w:rsid w:val="00311D9E"/>
    <w:rsid w:val="003122D7"/>
    <w:rsid w:val="003122FA"/>
    <w:rsid w:val="00312F1A"/>
    <w:rsid w:val="00313276"/>
    <w:rsid w:val="00313A87"/>
    <w:rsid w:val="00313C56"/>
    <w:rsid w:val="00313D88"/>
    <w:rsid w:val="003140FB"/>
    <w:rsid w:val="0031415C"/>
    <w:rsid w:val="00314622"/>
    <w:rsid w:val="00314E75"/>
    <w:rsid w:val="00314FD5"/>
    <w:rsid w:val="003151CF"/>
    <w:rsid w:val="0031537E"/>
    <w:rsid w:val="003159E3"/>
    <w:rsid w:val="00316298"/>
    <w:rsid w:val="003163B8"/>
    <w:rsid w:val="00316772"/>
    <w:rsid w:val="00316939"/>
    <w:rsid w:val="00316C34"/>
    <w:rsid w:val="00316CF7"/>
    <w:rsid w:val="00316DC8"/>
    <w:rsid w:val="00316EB6"/>
    <w:rsid w:val="00317212"/>
    <w:rsid w:val="00317463"/>
    <w:rsid w:val="00317A02"/>
    <w:rsid w:val="003200B3"/>
    <w:rsid w:val="003201C7"/>
    <w:rsid w:val="00320357"/>
    <w:rsid w:val="003203A5"/>
    <w:rsid w:val="00320409"/>
    <w:rsid w:val="00320426"/>
    <w:rsid w:val="00320793"/>
    <w:rsid w:val="00320A76"/>
    <w:rsid w:val="00320EE5"/>
    <w:rsid w:val="003217C7"/>
    <w:rsid w:val="003222D5"/>
    <w:rsid w:val="00322556"/>
    <w:rsid w:val="003225C6"/>
    <w:rsid w:val="003229D7"/>
    <w:rsid w:val="00322AD4"/>
    <w:rsid w:val="003236FA"/>
    <w:rsid w:val="003238B6"/>
    <w:rsid w:val="003238F0"/>
    <w:rsid w:val="00323A39"/>
    <w:rsid w:val="00323BDD"/>
    <w:rsid w:val="00323D50"/>
    <w:rsid w:val="00324300"/>
    <w:rsid w:val="003243A4"/>
    <w:rsid w:val="00324A6F"/>
    <w:rsid w:val="00324BDD"/>
    <w:rsid w:val="003251A2"/>
    <w:rsid w:val="003254B2"/>
    <w:rsid w:val="00325539"/>
    <w:rsid w:val="003258AB"/>
    <w:rsid w:val="00325A0E"/>
    <w:rsid w:val="0032704F"/>
    <w:rsid w:val="003306B1"/>
    <w:rsid w:val="00330915"/>
    <w:rsid w:val="003309D8"/>
    <w:rsid w:val="00330A9D"/>
    <w:rsid w:val="00331154"/>
    <w:rsid w:val="00331267"/>
    <w:rsid w:val="0033139E"/>
    <w:rsid w:val="003313C7"/>
    <w:rsid w:val="00331483"/>
    <w:rsid w:val="0033155B"/>
    <w:rsid w:val="0033165A"/>
    <w:rsid w:val="00331875"/>
    <w:rsid w:val="003319C4"/>
    <w:rsid w:val="00331CE7"/>
    <w:rsid w:val="0033259C"/>
    <w:rsid w:val="00333426"/>
    <w:rsid w:val="003336FB"/>
    <w:rsid w:val="0033409E"/>
    <w:rsid w:val="00334F75"/>
    <w:rsid w:val="00336590"/>
    <w:rsid w:val="003365E1"/>
    <w:rsid w:val="00337A45"/>
    <w:rsid w:val="003401AA"/>
    <w:rsid w:val="00340815"/>
    <w:rsid w:val="00340E54"/>
    <w:rsid w:val="00340ED4"/>
    <w:rsid w:val="00340F96"/>
    <w:rsid w:val="003418E1"/>
    <w:rsid w:val="003424B8"/>
    <w:rsid w:val="00342DEF"/>
    <w:rsid w:val="00343527"/>
    <w:rsid w:val="00343866"/>
    <w:rsid w:val="00343B15"/>
    <w:rsid w:val="003446E0"/>
    <w:rsid w:val="00344AB0"/>
    <w:rsid w:val="00344EAD"/>
    <w:rsid w:val="003460CA"/>
    <w:rsid w:val="003478B3"/>
    <w:rsid w:val="003500AE"/>
    <w:rsid w:val="00350DAA"/>
    <w:rsid w:val="00350E9B"/>
    <w:rsid w:val="00351642"/>
    <w:rsid w:val="00351686"/>
    <w:rsid w:val="0035264C"/>
    <w:rsid w:val="00352F05"/>
    <w:rsid w:val="00352F66"/>
    <w:rsid w:val="003531B0"/>
    <w:rsid w:val="003537D4"/>
    <w:rsid w:val="0035397B"/>
    <w:rsid w:val="00353B86"/>
    <w:rsid w:val="00353D2A"/>
    <w:rsid w:val="0035474D"/>
    <w:rsid w:val="00354C9F"/>
    <w:rsid w:val="00355B36"/>
    <w:rsid w:val="00355DE0"/>
    <w:rsid w:val="00355EC8"/>
    <w:rsid w:val="0035631C"/>
    <w:rsid w:val="00356469"/>
    <w:rsid w:val="003564E7"/>
    <w:rsid w:val="00356733"/>
    <w:rsid w:val="003569E8"/>
    <w:rsid w:val="00356D44"/>
    <w:rsid w:val="00357551"/>
    <w:rsid w:val="00357B08"/>
    <w:rsid w:val="00357B5C"/>
    <w:rsid w:val="003600FF"/>
    <w:rsid w:val="0036040F"/>
    <w:rsid w:val="00360B87"/>
    <w:rsid w:val="00361062"/>
    <w:rsid w:val="0036139C"/>
    <w:rsid w:val="0036175F"/>
    <w:rsid w:val="00361C13"/>
    <w:rsid w:val="003623F5"/>
    <w:rsid w:val="00362743"/>
    <w:rsid w:val="00362E8F"/>
    <w:rsid w:val="003630B3"/>
    <w:rsid w:val="00363267"/>
    <w:rsid w:val="003638CB"/>
    <w:rsid w:val="00363966"/>
    <w:rsid w:val="00363B6B"/>
    <w:rsid w:val="00364A28"/>
    <w:rsid w:val="00364AD3"/>
    <w:rsid w:val="0036508B"/>
    <w:rsid w:val="00365493"/>
    <w:rsid w:val="003655B5"/>
    <w:rsid w:val="00365ABF"/>
    <w:rsid w:val="00365CC4"/>
    <w:rsid w:val="00365E1E"/>
    <w:rsid w:val="00366389"/>
    <w:rsid w:val="0036644A"/>
    <w:rsid w:val="00366E1B"/>
    <w:rsid w:val="003670F6"/>
    <w:rsid w:val="003671AC"/>
    <w:rsid w:val="003676FB"/>
    <w:rsid w:val="00370901"/>
    <w:rsid w:val="00371AD9"/>
    <w:rsid w:val="00372251"/>
    <w:rsid w:val="003724B8"/>
    <w:rsid w:val="003732B0"/>
    <w:rsid w:val="003732EF"/>
    <w:rsid w:val="003738EA"/>
    <w:rsid w:val="00373ABF"/>
    <w:rsid w:val="0037421D"/>
    <w:rsid w:val="00374616"/>
    <w:rsid w:val="00375BCF"/>
    <w:rsid w:val="00375CD3"/>
    <w:rsid w:val="00376556"/>
    <w:rsid w:val="0037678D"/>
    <w:rsid w:val="0037684A"/>
    <w:rsid w:val="00376B32"/>
    <w:rsid w:val="00376FC0"/>
    <w:rsid w:val="00377E10"/>
    <w:rsid w:val="00377F55"/>
    <w:rsid w:val="003804D5"/>
    <w:rsid w:val="00380971"/>
    <w:rsid w:val="00380B61"/>
    <w:rsid w:val="00382545"/>
    <w:rsid w:val="00382B68"/>
    <w:rsid w:val="00382F5F"/>
    <w:rsid w:val="00382F76"/>
    <w:rsid w:val="0038330B"/>
    <w:rsid w:val="003834B4"/>
    <w:rsid w:val="00383538"/>
    <w:rsid w:val="003839AE"/>
    <w:rsid w:val="0038407A"/>
    <w:rsid w:val="00384164"/>
    <w:rsid w:val="003842D7"/>
    <w:rsid w:val="003844DB"/>
    <w:rsid w:val="00384EED"/>
    <w:rsid w:val="00386B60"/>
    <w:rsid w:val="00387214"/>
    <w:rsid w:val="00387379"/>
    <w:rsid w:val="00387802"/>
    <w:rsid w:val="00387A0A"/>
    <w:rsid w:val="00387ABF"/>
    <w:rsid w:val="00387C2E"/>
    <w:rsid w:val="00387F90"/>
    <w:rsid w:val="0039012D"/>
    <w:rsid w:val="003902A8"/>
    <w:rsid w:val="0039085D"/>
    <w:rsid w:val="003908D3"/>
    <w:rsid w:val="003910BB"/>
    <w:rsid w:val="0039166B"/>
    <w:rsid w:val="003916BF"/>
    <w:rsid w:val="00391E92"/>
    <w:rsid w:val="00392009"/>
    <w:rsid w:val="00392234"/>
    <w:rsid w:val="003923AA"/>
    <w:rsid w:val="00392535"/>
    <w:rsid w:val="0039253A"/>
    <w:rsid w:val="00392B59"/>
    <w:rsid w:val="00392D2E"/>
    <w:rsid w:val="003931A8"/>
    <w:rsid w:val="003932BD"/>
    <w:rsid w:val="00393F6E"/>
    <w:rsid w:val="00393FC7"/>
    <w:rsid w:val="00394569"/>
    <w:rsid w:val="00394C51"/>
    <w:rsid w:val="00396273"/>
    <w:rsid w:val="00396788"/>
    <w:rsid w:val="0039796E"/>
    <w:rsid w:val="00397F72"/>
    <w:rsid w:val="003A0209"/>
    <w:rsid w:val="003A088D"/>
    <w:rsid w:val="003A08E7"/>
    <w:rsid w:val="003A0951"/>
    <w:rsid w:val="003A0FEA"/>
    <w:rsid w:val="003A1526"/>
    <w:rsid w:val="003A16D3"/>
    <w:rsid w:val="003A18E2"/>
    <w:rsid w:val="003A1A34"/>
    <w:rsid w:val="003A2CED"/>
    <w:rsid w:val="003A2D9D"/>
    <w:rsid w:val="003A3088"/>
    <w:rsid w:val="003A404A"/>
    <w:rsid w:val="003A530D"/>
    <w:rsid w:val="003A54BD"/>
    <w:rsid w:val="003A5542"/>
    <w:rsid w:val="003A5AC8"/>
    <w:rsid w:val="003A5B45"/>
    <w:rsid w:val="003A5EB1"/>
    <w:rsid w:val="003A5F32"/>
    <w:rsid w:val="003A60CA"/>
    <w:rsid w:val="003A6DC1"/>
    <w:rsid w:val="003A6F72"/>
    <w:rsid w:val="003A7358"/>
    <w:rsid w:val="003A7802"/>
    <w:rsid w:val="003B0107"/>
    <w:rsid w:val="003B0644"/>
    <w:rsid w:val="003B089E"/>
    <w:rsid w:val="003B0D71"/>
    <w:rsid w:val="003B12DE"/>
    <w:rsid w:val="003B13B8"/>
    <w:rsid w:val="003B14ED"/>
    <w:rsid w:val="003B167F"/>
    <w:rsid w:val="003B20FC"/>
    <w:rsid w:val="003B2119"/>
    <w:rsid w:val="003B2304"/>
    <w:rsid w:val="003B24BA"/>
    <w:rsid w:val="003B2830"/>
    <w:rsid w:val="003B291B"/>
    <w:rsid w:val="003B2ABE"/>
    <w:rsid w:val="003B2E3C"/>
    <w:rsid w:val="003B2F31"/>
    <w:rsid w:val="003B3460"/>
    <w:rsid w:val="003B3888"/>
    <w:rsid w:val="003B3BBD"/>
    <w:rsid w:val="003B3CCF"/>
    <w:rsid w:val="003B3E98"/>
    <w:rsid w:val="003B432D"/>
    <w:rsid w:val="003B461C"/>
    <w:rsid w:val="003B4686"/>
    <w:rsid w:val="003B46CE"/>
    <w:rsid w:val="003B489D"/>
    <w:rsid w:val="003B4CBC"/>
    <w:rsid w:val="003B4F39"/>
    <w:rsid w:val="003B4FAA"/>
    <w:rsid w:val="003B5052"/>
    <w:rsid w:val="003B55C3"/>
    <w:rsid w:val="003B56A7"/>
    <w:rsid w:val="003B56E1"/>
    <w:rsid w:val="003B57B3"/>
    <w:rsid w:val="003B5FFA"/>
    <w:rsid w:val="003B602B"/>
    <w:rsid w:val="003B634E"/>
    <w:rsid w:val="003B6A72"/>
    <w:rsid w:val="003B6D51"/>
    <w:rsid w:val="003B6DB7"/>
    <w:rsid w:val="003B6EDB"/>
    <w:rsid w:val="003B7372"/>
    <w:rsid w:val="003B7C51"/>
    <w:rsid w:val="003B7CC6"/>
    <w:rsid w:val="003B7E9C"/>
    <w:rsid w:val="003B7EBC"/>
    <w:rsid w:val="003B7FCB"/>
    <w:rsid w:val="003C022C"/>
    <w:rsid w:val="003C07C6"/>
    <w:rsid w:val="003C0FB3"/>
    <w:rsid w:val="003C1EF6"/>
    <w:rsid w:val="003C3055"/>
    <w:rsid w:val="003C409B"/>
    <w:rsid w:val="003C45C6"/>
    <w:rsid w:val="003C49B4"/>
    <w:rsid w:val="003C5000"/>
    <w:rsid w:val="003C56CE"/>
    <w:rsid w:val="003C5A1D"/>
    <w:rsid w:val="003C5B0C"/>
    <w:rsid w:val="003C5C9B"/>
    <w:rsid w:val="003C6A3F"/>
    <w:rsid w:val="003C72F0"/>
    <w:rsid w:val="003C796A"/>
    <w:rsid w:val="003C7C76"/>
    <w:rsid w:val="003D0616"/>
    <w:rsid w:val="003D0F4E"/>
    <w:rsid w:val="003D12C4"/>
    <w:rsid w:val="003D137B"/>
    <w:rsid w:val="003D14D9"/>
    <w:rsid w:val="003D152D"/>
    <w:rsid w:val="003D1625"/>
    <w:rsid w:val="003D1890"/>
    <w:rsid w:val="003D1EFA"/>
    <w:rsid w:val="003D2854"/>
    <w:rsid w:val="003D2CAB"/>
    <w:rsid w:val="003D3B2A"/>
    <w:rsid w:val="003D3F81"/>
    <w:rsid w:val="003D4353"/>
    <w:rsid w:val="003D4DAA"/>
    <w:rsid w:val="003D522D"/>
    <w:rsid w:val="003D5536"/>
    <w:rsid w:val="003D55B5"/>
    <w:rsid w:val="003D56B4"/>
    <w:rsid w:val="003D5CF2"/>
    <w:rsid w:val="003D6130"/>
    <w:rsid w:val="003D6A18"/>
    <w:rsid w:val="003D6B38"/>
    <w:rsid w:val="003D701E"/>
    <w:rsid w:val="003D7DBD"/>
    <w:rsid w:val="003E067A"/>
    <w:rsid w:val="003E1A14"/>
    <w:rsid w:val="003E1AE1"/>
    <w:rsid w:val="003E1FDA"/>
    <w:rsid w:val="003E2890"/>
    <w:rsid w:val="003E29BE"/>
    <w:rsid w:val="003E2EBC"/>
    <w:rsid w:val="003E2EEE"/>
    <w:rsid w:val="003E3016"/>
    <w:rsid w:val="003E3611"/>
    <w:rsid w:val="003E3769"/>
    <w:rsid w:val="003E3EE5"/>
    <w:rsid w:val="003E45DC"/>
    <w:rsid w:val="003E4A0B"/>
    <w:rsid w:val="003E4A74"/>
    <w:rsid w:val="003E50E1"/>
    <w:rsid w:val="003E6665"/>
    <w:rsid w:val="003E687D"/>
    <w:rsid w:val="003E6DA7"/>
    <w:rsid w:val="003E7261"/>
    <w:rsid w:val="003E73F8"/>
    <w:rsid w:val="003E7405"/>
    <w:rsid w:val="003E7A4B"/>
    <w:rsid w:val="003F00A1"/>
    <w:rsid w:val="003F03E0"/>
    <w:rsid w:val="003F0629"/>
    <w:rsid w:val="003F172C"/>
    <w:rsid w:val="003F198C"/>
    <w:rsid w:val="003F1A07"/>
    <w:rsid w:val="003F1D76"/>
    <w:rsid w:val="003F1E75"/>
    <w:rsid w:val="003F1EBC"/>
    <w:rsid w:val="003F1F2C"/>
    <w:rsid w:val="003F1FB7"/>
    <w:rsid w:val="003F2C5C"/>
    <w:rsid w:val="003F2F23"/>
    <w:rsid w:val="003F2FFE"/>
    <w:rsid w:val="003F323B"/>
    <w:rsid w:val="003F3705"/>
    <w:rsid w:val="003F3FE0"/>
    <w:rsid w:val="003F41F7"/>
    <w:rsid w:val="003F5A1F"/>
    <w:rsid w:val="003F5B86"/>
    <w:rsid w:val="003F5C40"/>
    <w:rsid w:val="003F5D1F"/>
    <w:rsid w:val="003F6C4B"/>
    <w:rsid w:val="003F6CE0"/>
    <w:rsid w:val="003F7232"/>
    <w:rsid w:val="003F7355"/>
    <w:rsid w:val="003F73E0"/>
    <w:rsid w:val="00400BC3"/>
    <w:rsid w:val="00400E60"/>
    <w:rsid w:val="0040114C"/>
    <w:rsid w:val="00401164"/>
    <w:rsid w:val="00401CC8"/>
    <w:rsid w:val="00401CE0"/>
    <w:rsid w:val="0040251F"/>
    <w:rsid w:val="00402556"/>
    <w:rsid w:val="00402B81"/>
    <w:rsid w:val="00403853"/>
    <w:rsid w:val="00403CBB"/>
    <w:rsid w:val="00403DAA"/>
    <w:rsid w:val="00403E02"/>
    <w:rsid w:val="004046C6"/>
    <w:rsid w:val="0040492B"/>
    <w:rsid w:val="00405690"/>
    <w:rsid w:val="004059E0"/>
    <w:rsid w:val="00405B66"/>
    <w:rsid w:val="004069E4"/>
    <w:rsid w:val="00406A3C"/>
    <w:rsid w:val="00406AC7"/>
    <w:rsid w:val="00406B9A"/>
    <w:rsid w:val="00406CE2"/>
    <w:rsid w:val="00407799"/>
    <w:rsid w:val="004102F7"/>
    <w:rsid w:val="00410327"/>
    <w:rsid w:val="00410B45"/>
    <w:rsid w:val="00410E67"/>
    <w:rsid w:val="00411658"/>
    <w:rsid w:val="004126FD"/>
    <w:rsid w:val="004132B6"/>
    <w:rsid w:val="004133E3"/>
    <w:rsid w:val="00413762"/>
    <w:rsid w:val="00414625"/>
    <w:rsid w:val="00414C0E"/>
    <w:rsid w:val="00414EE7"/>
    <w:rsid w:val="004153A2"/>
    <w:rsid w:val="0041560A"/>
    <w:rsid w:val="00415EB6"/>
    <w:rsid w:val="00416951"/>
    <w:rsid w:val="00416C51"/>
    <w:rsid w:val="0041702C"/>
    <w:rsid w:val="004170C4"/>
    <w:rsid w:val="00417188"/>
    <w:rsid w:val="004175E7"/>
    <w:rsid w:val="00417670"/>
    <w:rsid w:val="00417734"/>
    <w:rsid w:val="00417F24"/>
    <w:rsid w:val="00420B02"/>
    <w:rsid w:val="00420E19"/>
    <w:rsid w:val="00421212"/>
    <w:rsid w:val="00421568"/>
    <w:rsid w:val="004216AA"/>
    <w:rsid w:val="0042173C"/>
    <w:rsid w:val="0042191D"/>
    <w:rsid w:val="004230A6"/>
    <w:rsid w:val="00423504"/>
    <w:rsid w:val="00423CA2"/>
    <w:rsid w:val="00423D3A"/>
    <w:rsid w:val="00423DB4"/>
    <w:rsid w:val="00424948"/>
    <w:rsid w:val="00424E27"/>
    <w:rsid w:val="00424ED4"/>
    <w:rsid w:val="0042503C"/>
    <w:rsid w:val="004251FD"/>
    <w:rsid w:val="004253C6"/>
    <w:rsid w:val="00425A71"/>
    <w:rsid w:val="00425B75"/>
    <w:rsid w:val="00425E16"/>
    <w:rsid w:val="004260B2"/>
    <w:rsid w:val="0042632A"/>
    <w:rsid w:val="0042646B"/>
    <w:rsid w:val="00426653"/>
    <w:rsid w:val="00426832"/>
    <w:rsid w:val="00426E06"/>
    <w:rsid w:val="004271AA"/>
    <w:rsid w:val="00427561"/>
    <w:rsid w:val="00427721"/>
    <w:rsid w:val="004279FB"/>
    <w:rsid w:val="004304C0"/>
    <w:rsid w:val="00430A60"/>
    <w:rsid w:val="00431309"/>
    <w:rsid w:val="00431484"/>
    <w:rsid w:val="00431B21"/>
    <w:rsid w:val="00431C31"/>
    <w:rsid w:val="00431D9B"/>
    <w:rsid w:val="004320B9"/>
    <w:rsid w:val="0043283D"/>
    <w:rsid w:val="004329CD"/>
    <w:rsid w:val="00433082"/>
    <w:rsid w:val="00433095"/>
    <w:rsid w:val="0043328D"/>
    <w:rsid w:val="004335CB"/>
    <w:rsid w:val="004335E5"/>
    <w:rsid w:val="00433906"/>
    <w:rsid w:val="0043398A"/>
    <w:rsid w:val="00433DA3"/>
    <w:rsid w:val="0043460A"/>
    <w:rsid w:val="00434A8E"/>
    <w:rsid w:val="00435348"/>
    <w:rsid w:val="00435925"/>
    <w:rsid w:val="00436222"/>
    <w:rsid w:val="00436739"/>
    <w:rsid w:val="00436962"/>
    <w:rsid w:val="00436B35"/>
    <w:rsid w:val="00436C0A"/>
    <w:rsid w:val="00436CC9"/>
    <w:rsid w:val="004372A1"/>
    <w:rsid w:val="004373B1"/>
    <w:rsid w:val="0043767D"/>
    <w:rsid w:val="0043783B"/>
    <w:rsid w:val="00437C5C"/>
    <w:rsid w:val="00440072"/>
    <w:rsid w:val="004403C1"/>
    <w:rsid w:val="0044052C"/>
    <w:rsid w:val="00440544"/>
    <w:rsid w:val="00440B69"/>
    <w:rsid w:val="004411C2"/>
    <w:rsid w:val="00441943"/>
    <w:rsid w:val="00441986"/>
    <w:rsid w:val="00441E3E"/>
    <w:rsid w:val="00442422"/>
    <w:rsid w:val="00442BCF"/>
    <w:rsid w:val="004430CE"/>
    <w:rsid w:val="0044461E"/>
    <w:rsid w:val="004446C6"/>
    <w:rsid w:val="004447E2"/>
    <w:rsid w:val="004448D7"/>
    <w:rsid w:val="00445946"/>
    <w:rsid w:val="004463F6"/>
    <w:rsid w:val="00446526"/>
    <w:rsid w:val="004466ED"/>
    <w:rsid w:val="00446A4C"/>
    <w:rsid w:val="004470D3"/>
    <w:rsid w:val="0044783D"/>
    <w:rsid w:val="0044785A"/>
    <w:rsid w:val="00447EFE"/>
    <w:rsid w:val="004509F0"/>
    <w:rsid w:val="00450ADC"/>
    <w:rsid w:val="004514EB"/>
    <w:rsid w:val="00451888"/>
    <w:rsid w:val="00451A81"/>
    <w:rsid w:val="004520AE"/>
    <w:rsid w:val="00452337"/>
    <w:rsid w:val="004524B2"/>
    <w:rsid w:val="0045289B"/>
    <w:rsid w:val="00452BFD"/>
    <w:rsid w:val="00452CB8"/>
    <w:rsid w:val="00453019"/>
    <w:rsid w:val="00453582"/>
    <w:rsid w:val="00453A6D"/>
    <w:rsid w:val="00454238"/>
    <w:rsid w:val="00454668"/>
    <w:rsid w:val="00454A47"/>
    <w:rsid w:val="00454E8D"/>
    <w:rsid w:val="0045508D"/>
    <w:rsid w:val="004553B7"/>
    <w:rsid w:val="00455FF6"/>
    <w:rsid w:val="0045615E"/>
    <w:rsid w:val="0045690F"/>
    <w:rsid w:val="00456AF8"/>
    <w:rsid w:val="00456F34"/>
    <w:rsid w:val="004579AD"/>
    <w:rsid w:val="00457C9D"/>
    <w:rsid w:val="00457E56"/>
    <w:rsid w:val="00460059"/>
    <w:rsid w:val="0046033D"/>
    <w:rsid w:val="00460A13"/>
    <w:rsid w:val="00460FE1"/>
    <w:rsid w:val="004610CF"/>
    <w:rsid w:val="00461249"/>
    <w:rsid w:val="004612FD"/>
    <w:rsid w:val="004619FD"/>
    <w:rsid w:val="00461D7E"/>
    <w:rsid w:val="00461F06"/>
    <w:rsid w:val="0046204D"/>
    <w:rsid w:val="004622F2"/>
    <w:rsid w:val="00462D27"/>
    <w:rsid w:val="00462EA2"/>
    <w:rsid w:val="0046344D"/>
    <w:rsid w:val="00463832"/>
    <w:rsid w:val="00463B93"/>
    <w:rsid w:val="00463CDC"/>
    <w:rsid w:val="0046438A"/>
    <w:rsid w:val="004645DA"/>
    <w:rsid w:val="00464765"/>
    <w:rsid w:val="0046514C"/>
    <w:rsid w:val="004656E1"/>
    <w:rsid w:val="004658F3"/>
    <w:rsid w:val="00465C3E"/>
    <w:rsid w:val="00465CC9"/>
    <w:rsid w:val="00465DE0"/>
    <w:rsid w:val="004663C0"/>
    <w:rsid w:val="004668EF"/>
    <w:rsid w:val="0046765A"/>
    <w:rsid w:val="00467732"/>
    <w:rsid w:val="00467EF7"/>
    <w:rsid w:val="00470071"/>
    <w:rsid w:val="00470382"/>
    <w:rsid w:val="00470B63"/>
    <w:rsid w:val="00471342"/>
    <w:rsid w:val="004718A7"/>
    <w:rsid w:val="004718BC"/>
    <w:rsid w:val="00471A86"/>
    <w:rsid w:val="00471FDC"/>
    <w:rsid w:val="004722E3"/>
    <w:rsid w:val="00472370"/>
    <w:rsid w:val="0047299F"/>
    <w:rsid w:val="00472FF4"/>
    <w:rsid w:val="00473012"/>
    <w:rsid w:val="0047377F"/>
    <w:rsid w:val="004738DE"/>
    <w:rsid w:val="00473E16"/>
    <w:rsid w:val="0047408C"/>
    <w:rsid w:val="00474A0E"/>
    <w:rsid w:val="00475610"/>
    <w:rsid w:val="00475EEE"/>
    <w:rsid w:val="00476691"/>
    <w:rsid w:val="00476FFF"/>
    <w:rsid w:val="00477B57"/>
    <w:rsid w:val="00477D15"/>
    <w:rsid w:val="004804A6"/>
    <w:rsid w:val="00480947"/>
    <w:rsid w:val="00481AE3"/>
    <w:rsid w:val="00482187"/>
    <w:rsid w:val="004821DF"/>
    <w:rsid w:val="00482311"/>
    <w:rsid w:val="0048299D"/>
    <w:rsid w:val="00482AD6"/>
    <w:rsid w:val="00482B06"/>
    <w:rsid w:val="00482C3F"/>
    <w:rsid w:val="00482E39"/>
    <w:rsid w:val="00483133"/>
    <w:rsid w:val="0048345B"/>
    <w:rsid w:val="00483E18"/>
    <w:rsid w:val="00484831"/>
    <w:rsid w:val="004848E1"/>
    <w:rsid w:val="00484CB0"/>
    <w:rsid w:val="00485080"/>
    <w:rsid w:val="00485C85"/>
    <w:rsid w:val="00485F49"/>
    <w:rsid w:val="00486324"/>
    <w:rsid w:val="00486C88"/>
    <w:rsid w:val="00486E92"/>
    <w:rsid w:val="00487407"/>
    <w:rsid w:val="00487B6D"/>
    <w:rsid w:val="00487C44"/>
    <w:rsid w:val="004906AC"/>
    <w:rsid w:val="00490D84"/>
    <w:rsid w:val="00491561"/>
    <w:rsid w:val="004919ED"/>
    <w:rsid w:val="00491EFE"/>
    <w:rsid w:val="00492033"/>
    <w:rsid w:val="00492589"/>
    <w:rsid w:val="00492802"/>
    <w:rsid w:val="004930F2"/>
    <w:rsid w:val="00493C63"/>
    <w:rsid w:val="00493E19"/>
    <w:rsid w:val="004943AC"/>
    <w:rsid w:val="004945F7"/>
    <w:rsid w:val="00494D1F"/>
    <w:rsid w:val="00495326"/>
    <w:rsid w:val="0049561A"/>
    <w:rsid w:val="00495A68"/>
    <w:rsid w:val="00496315"/>
    <w:rsid w:val="00496584"/>
    <w:rsid w:val="00497377"/>
    <w:rsid w:val="004976C8"/>
    <w:rsid w:val="004978BB"/>
    <w:rsid w:val="00497BD2"/>
    <w:rsid w:val="00497E2C"/>
    <w:rsid w:val="004A066C"/>
    <w:rsid w:val="004A1DA9"/>
    <w:rsid w:val="004A26DC"/>
    <w:rsid w:val="004A309A"/>
    <w:rsid w:val="004A3B63"/>
    <w:rsid w:val="004A3D37"/>
    <w:rsid w:val="004A4E11"/>
    <w:rsid w:val="004A5845"/>
    <w:rsid w:val="004A596B"/>
    <w:rsid w:val="004A5B19"/>
    <w:rsid w:val="004A5D8E"/>
    <w:rsid w:val="004A652A"/>
    <w:rsid w:val="004A6BCA"/>
    <w:rsid w:val="004A6EDB"/>
    <w:rsid w:val="004A71B6"/>
    <w:rsid w:val="004A7EC2"/>
    <w:rsid w:val="004B095B"/>
    <w:rsid w:val="004B0C6C"/>
    <w:rsid w:val="004B0CCC"/>
    <w:rsid w:val="004B1153"/>
    <w:rsid w:val="004B1546"/>
    <w:rsid w:val="004B1B71"/>
    <w:rsid w:val="004B234E"/>
    <w:rsid w:val="004B26AD"/>
    <w:rsid w:val="004B28A5"/>
    <w:rsid w:val="004B2D73"/>
    <w:rsid w:val="004B4B10"/>
    <w:rsid w:val="004B4FF9"/>
    <w:rsid w:val="004B53C5"/>
    <w:rsid w:val="004B5A05"/>
    <w:rsid w:val="004B5D22"/>
    <w:rsid w:val="004B609C"/>
    <w:rsid w:val="004B6120"/>
    <w:rsid w:val="004B6313"/>
    <w:rsid w:val="004B66B4"/>
    <w:rsid w:val="004B6D3B"/>
    <w:rsid w:val="004B6EC0"/>
    <w:rsid w:val="004B739E"/>
    <w:rsid w:val="004C0184"/>
    <w:rsid w:val="004C0557"/>
    <w:rsid w:val="004C089B"/>
    <w:rsid w:val="004C098F"/>
    <w:rsid w:val="004C14F7"/>
    <w:rsid w:val="004C18BC"/>
    <w:rsid w:val="004C1EF7"/>
    <w:rsid w:val="004C1FA2"/>
    <w:rsid w:val="004C23E0"/>
    <w:rsid w:val="004C2F75"/>
    <w:rsid w:val="004C3971"/>
    <w:rsid w:val="004C3AF0"/>
    <w:rsid w:val="004C3FF9"/>
    <w:rsid w:val="004C4191"/>
    <w:rsid w:val="004C5EAC"/>
    <w:rsid w:val="004C677C"/>
    <w:rsid w:val="004C6964"/>
    <w:rsid w:val="004C6B24"/>
    <w:rsid w:val="004C7484"/>
    <w:rsid w:val="004C75AD"/>
    <w:rsid w:val="004C76F1"/>
    <w:rsid w:val="004D0E10"/>
    <w:rsid w:val="004D0EE3"/>
    <w:rsid w:val="004D14F6"/>
    <w:rsid w:val="004D1512"/>
    <w:rsid w:val="004D244F"/>
    <w:rsid w:val="004D275B"/>
    <w:rsid w:val="004D28D5"/>
    <w:rsid w:val="004D3DC2"/>
    <w:rsid w:val="004D3E38"/>
    <w:rsid w:val="004D4136"/>
    <w:rsid w:val="004D505A"/>
    <w:rsid w:val="004D5607"/>
    <w:rsid w:val="004D58D2"/>
    <w:rsid w:val="004D596F"/>
    <w:rsid w:val="004D5DD2"/>
    <w:rsid w:val="004D622C"/>
    <w:rsid w:val="004D63BA"/>
    <w:rsid w:val="004D6B5F"/>
    <w:rsid w:val="004D6DB8"/>
    <w:rsid w:val="004D6FBD"/>
    <w:rsid w:val="004D7002"/>
    <w:rsid w:val="004D7324"/>
    <w:rsid w:val="004D760D"/>
    <w:rsid w:val="004D7705"/>
    <w:rsid w:val="004D7EEE"/>
    <w:rsid w:val="004E04CF"/>
    <w:rsid w:val="004E17B7"/>
    <w:rsid w:val="004E1ABD"/>
    <w:rsid w:val="004E1F2C"/>
    <w:rsid w:val="004E1F50"/>
    <w:rsid w:val="004E2182"/>
    <w:rsid w:val="004E2212"/>
    <w:rsid w:val="004E2692"/>
    <w:rsid w:val="004E26FA"/>
    <w:rsid w:val="004E275B"/>
    <w:rsid w:val="004E2C41"/>
    <w:rsid w:val="004E308B"/>
    <w:rsid w:val="004E3131"/>
    <w:rsid w:val="004E3FA8"/>
    <w:rsid w:val="004E47CB"/>
    <w:rsid w:val="004E493C"/>
    <w:rsid w:val="004E4B5F"/>
    <w:rsid w:val="004E4E11"/>
    <w:rsid w:val="004E57ED"/>
    <w:rsid w:val="004E63BE"/>
    <w:rsid w:val="004E685C"/>
    <w:rsid w:val="004E686C"/>
    <w:rsid w:val="004E6A71"/>
    <w:rsid w:val="004F06BD"/>
    <w:rsid w:val="004F0F55"/>
    <w:rsid w:val="004F129B"/>
    <w:rsid w:val="004F12AD"/>
    <w:rsid w:val="004F130F"/>
    <w:rsid w:val="004F140C"/>
    <w:rsid w:val="004F1986"/>
    <w:rsid w:val="004F19E1"/>
    <w:rsid w:val="004F1AEB"/>
    <w:rsid w:val="004F1B53"/>
    <w:rsid w:val="004F2A75"/>
    <w:rsid w:val="004F3553"/>
    <w:rsid w:val="004F382D"/>
    <w:rsid w:val="004F41C8"/>
    <w:rsid w:val="004F46D2"/>
    <w:rsid w:val="004F4B5A"/>
    <w:rsid w:val="004F4B7E"/>
    <w:rsid w:val="004F514C"/>
    <w:rsid w:val="004F67FC"/>
    <w:rsid w:val="004F6AE4"/>
    <w:rsid w:val="004F6AFB"/>
    <w:rsid w:val="004F76E5"/>
    <w:rsid w:val="004F786E"/>
    <w:rsid w:val="004F7FAC"/>
    <w:rsid w:val="00500295"/>
    <w:rsid w:val="0050056A"/>
    <w:rsid w:val="005006F3"/>
    <w:rsid w:val="0050093A"/>
    <w:rsid w:val="0050095A"/>
    <w:rsid w:val="005009D4"/>
    <w:rsid w:val="00500E18"/>
    <w:rsid w:val="005016A9"/>
    <w:rsid w:val="00501C83"/>
    <w:rsid w:val="005020C0"/>
    <w:rsid w:val="0050215D"/>
    <w:rsid w:val="00502497"/>
    <w:rsid w:val="00502AE9"/>
    <w:rsid w:val="00502B07"/>
    <w:rsid w:val="00502C16"/>
    <w:rsid w:val="0050302D"/>
    <w:rsid w:val="005037E9"/>
    <w:rsid w:val="00503B17"/>
    <w:rsid w:val="00503CC2"/>
    <w:rsid w:val="0050572B"/>
    <w:rsid w:val="00505A46"/>
    <w:rsid w:val="00505E65"/>
    <w:rsid w:val="00505E67"/>
    <w:rsid w:val="00506507"/>
    <w:rsid w:val="005066BC"/>
    <w:rsid w:val="005066C2"/>
    <w:rsid w:val="0050704F"/>
    <w:rsid w:val="005072B4"/>
    <w:rsid w:val="005074AC"/>
    <w:rsid w:val="00507952"/>
    <w:rsid w:val="00507B94"/>
    <w:rsid w:val="00511240"/>
    <w:rsid w:val="005112C5"/>
    <w:rsid w:val="005112F9"/>
    <w:rsid w:val="0051137D"/>
    <w:rsid w:val="00511A76"/>
    <w:rsid w:val="00511B09"/>
    <w:rsid w:val="00511D15"/>
    <w:rsid w:val="005122D7"/>
    <w:rsid w:val="0051285D"/>
    <w:rsid w:val="00512AD9"/>
    <w:rsid w:val="00512CB0"/>
    <w:rsid w:val="00512DB8"/>
    <w:rsid w:val="0051311F"/>
    <w:rsid w:val="0051332F"/>
    <w:rsid w:val="00513B7B"/>
    <w:rsid w:val="0051454C"/>
    <w:rsid w:val="005147A8"/>
    <w:rsid w:val="00515683"/>
    <w:rsid w:val="00515C37"/>
    <w:rsid w:val="0051626B"/>
    <w:rsid w:val="00516470"/>
    <w:rsid w:val="00516843"/>
    <w:rsid w:val="00516EEC"/>
    <w:rsid w:val="00517A89"/>
    <w:rsid w:val="00517B49"/>
    <w:rsid w:val="0052035B"/>
    <w:rsid w:val="005204EA"/>
    <w:rsid w:val="005209E5"/>
    <w:rsid w:val="00520CA6"/>
    <w:rsid w:val="00521566"/>
    <w:rsid w:val="00521ACE"/>
    <w:rsid w:val="0052202F"/>
    <w:rsid w:val="00522048"/>
    <w:rsid w:val="005223D0"/>
    <w:rsid w:val="0052245E"/>
    <w:rsid w:val="00522752"/>
    <w:rsid w:val="00522F64"/>
    <w:rsid w:val="00523AE9"/>
    <w:rsid w:val="00524318"/>
    <w:rsid w:val="0052477B"/>
    <w:rsid w:val="005247FE"/>
    <w:rsid w:val="00524DBE"/>
    <w:rsid w:val="00524E74"/>
    <w:rsid w:val="00525361"/>
    <w:rsid w:val="00525C86"/>
    <w:rsid w:val="00526151"/>
    <w:rsid w:val="005264F9"/>
    <w:rsid w:val="005268C9"/>
    <w:rsid w:val="00527872"/>
    <w:rsid w:val="005302BB"/>
    <w:rsid w:val="005303FE"/>
    <w:rsid w:val="00530481"/>
    <w:rsid w:val="00530EB5"/>
    <w:rsid w:val="005326D3"/>
    <w:rsid w:val="005327CC"/>
    <w:rsid w:val="00532C7C"/>
    <w:rsid w:val="00532CC7"/>
    <w:rsid w:val="00532DC1"/>
    <w:rsid w:val="00532F89"/>
    <w:rsid w:val="0053309A"/>
    <w:rsid w:val="005330C5"/>
    <w:rsid w:val="00534169"/>
    <w:rsid w:val="00534695"/>
    <w:rsid w:val="005346ED"/>
    <w:rsid w:val="00534ABE"/>
    <w:rsid w:val="00534B5F"/>
    <w:rsid w:val="005350A0"/>
    <w:rsid w:val="0053550E"/>
    <w:rsid w:val="0053567F"/>
    <w:rsid w:val="00535BE8"/>
    <w:rsid w:val="00536681"/>
    <w:rsid w:val="00536FFA"/>
    <w:rsid w:val="005374EF"/>
    <w:rsid w:val="00537B19"/>
    <w:rsid w:val="00537B49"/>
    <w:rsid w:val="00537EB1"/>
    <w:rsid w:val="00540250"/>
    <w:rsid w:val="005402EB"/>
    <w:rsid w:val="00540482"/>
    <w:rsid w:val="0054050D"/>
    <w:rsid w:val="0054090C"/>
    <w:rsid w:val="00540BCB"/>
    <w:rsid w:val="00540FA8"/>
    <w:rsid w:val="0054137B"/>
    <w:rsid w:val="005417A9"/>
    <w:rsid w:val="00541817"/>
    <w:rsid w:val="005418AC"/>
    <w:rsid w:val="005418AE"/>
    <w:rsid w:val="00541A2D"/>
    <w:rsid w:val="005421A5"/>
    <w:rsid w:val="00542E16"/>
    <w:rsid w:val="0054310A"/>
    <w:rsid w:val="0054379D"/>
    <w:rsid w:val="0054393C"/>
    <w:rsid w:val="005439B2"/>
    <w:rsid w:val="00543A82"/>
    <w:rsid w:val="005442A8"/>
    <w:rsid w:val="005450B8"/>
    <w:rsid w:val="0054568D"/>
    <w:rsid w:val="005456C1"/>
    <w:rsid w:val="00545B73"/>
    <w:rsid w:val="00545ECD"/>
    <w:rsid w:val="00546462"/>
    <w:rsid w:val="00546C48"/>
    <w:rsid w:val="00546D28"/>
    <w:rsid w:val="00547048"/>
    <w:rsid w:val="00547096"/>
    <w:rsid w:val="00547E87"/>
    <w:rsid w:val="00550239"/>
    <w:rsid w:val="00551A8E"/>
    <w:rsid w:val="00551FAF"/>
    <w:rsid w:val="00552698"/>
    <w:rsid w:val="00552964"/>
    <w:rsid w:val="005534C3"/>
    <w:rsid w:val="005537AF"/>
    <w:rsid w:val="00553DEB"/>
    <w:rsid w:val="00554103"/>
    <w:rsid w:val="00554309"/>
    <w:rsid w:val="00554821"/>
    <w:rsid w:val="00554B87"/>
    <w:rsid w:val="00554C28"/>
    <w:rsid w:val="00555BF4"/>
    <w:rsid w:val="005561CC"/>
    <w:rsid w:val="00556297"/>
    <w:rsid w:val="005564FF"/>
    <w:rsid w:val="005567DD"/>
    <w:rsid w:val="00556872"/>
    <w:rsid w:val="00556BEB"/>
    <w:rsid w:val="00557121"/>
    <w:rsid w:val="00557372"/>
    <w:rsid w:val="00557C71"/>
    <w:rsid w:val="00560438"/>
    <w:rsid w:val="00560F63"/>
    <w:rsid w:val="00562164"/>
    <w:rsid w:val="005621E5"/>
    <w:rsid w:val="005624FB"/>
    <w:rsid w:val="00562714"/>
    <w:rsid w:val="005627F3"/>
    <w:rsid w:val="00562DA8"/>
    <w:rsid w:val="0056425E"/>
    <w:rsid w:val="00564519"/>
    <w:rsid w:val="00564AF5"/>
    <w:rsid w:val="00564EB7"/>
    <w:rsid w:val="005650BA"/>
    <w:rsid w:val="00566273"/>
    <w:rsid w:val="005665A0"/>
    <w:rsid w:val="00566BD8"/>
    <w:rsid w:val="00566E49"/>
    <w:rsid w:val="005676CC"/>
    <w:rsid w:val="00567A82"/>
    <w:rsid w:val="00567CDB"/>
    <w:rsid w:val="00570190"/>
    <w:rsid w:val="005705E7"/>
    <w:rsid w:val="005711D5"/>
    <w:rsid w:val="005711F1"/>
    <w:rsid w:val="00571A33"/>
    <w:rsid w:val="0057216E"/>
    <w:rsid w:val="00572A08"/>
    <w:rsid w:val="00572E57"/>
    <w:rsid w:val="00572F1C"/>
    <w:rsid w:val="00573079"/>
    <w:rsid w:val="00573F5E"/>
    <w:rsid w:val="00574204"/>
    <w:rsid w:val="00574B55"/>
    <w:rsid w:val="00574BBC"/>
    <w:rsid w:val="00574E38"/>
    <w:rsid w:val="00574FBA"/>
    <w:rsid w:val="005752E4"/>
    <w:rsid w:val="005755CD"/>
    <w:rsid w:val="005757C4"/>
    <w:rsid w:val="00575844"/>
    <w:rsid w:val="00575CD5"/>
    <w:rsid w:val="00575D70"/>
    <w:rsid w:val="0057637F"/>
    <w:rsid w:val="00576793"/>
    <w:rsid w:val="0057687C"/>
    <w:rsid w:val="00576A8D"/>
    <w:rsid w:val="00576E5A"/>
    <w:rsid w:val="005770A1"/>
    <w:rsid w:val="00577487"/>
    <w:rsid w:val="005778F1"/>
    <w:rsid w:val="0058024C"/>
    <w:rsid w:val="00580DA2"/>
    <w:rsid w:val="00580ECC"/>
    <w:rsid w:val="005814E2"/>
    <w:rsid w:val="005816C6"/>
    <w:rsid w:val="00581B94"/>
    <w:rsid w:val="005826BC"/>
    <w:rsid w:val="005833AF"/>
    <w:rsid w:val="00583DF9"/>
    <w:rsid w:val="00583E3D"/>
    <w:rsid w:val="00583EDF"/>
    <w:rsid w:val="00584469"/>
    <w:rsid w:val="005849A6"/>
    <w:rsid w:val="00584E9E"/>
    <w:rsid w:val="00585D46"/>
    <w:rsid w:val="00585EC5"/>
    <w:rsid w:val="005861FF"/>
    <w:rsid w:val="005866CB"/>
    <w:rsid w:val="00586FED"/>
    <w:rsid w:val="0058706A"/>
    <w:rsid w:val="005873D5"/>
    <w:rsid w:val="00587541"/>
    <w:rsid w:val="005876EF"/>
    <w:rsid w:val="00587A28"/>
    <w:rsid w:val="00587C57"/>
    <w:rsid w:val="00587ED6"/>
    <w:rsid w:val="00587EF4"/>
    <w:rsid w:val="0059018E"/>
    <w:rsid w:val="005906EE"/>
    <w:rsid w:val="005907E9"/>
    <w:rsid w:val="00590C2C"/>
    <w:rsid w:val="00590F5E"/>
    <w:rsid w:val="00591078"/>
    <w:rsid w:val="005913AF"/>
    <w:rsid w:val="005915A1"/>
    <w:rsid w:val="005917A3"/>
    <w:rsid w:val="00591D14"/>
    <w:rsid w:val="00592018"/>
    <w:rsid w:val="00593C13"/>
    <w:rsid w:val="00594708"/>
    <w:rsid w:val="0059492B"/>
    <w:rsid w:val="0059500E"/>
    <w:rsid w:val="00595210"/>
    <w:rsid w:val="005954B0"/>
    <w:rsid w:val="005959A3"/>
    <w:rsid w:val="005962EF"/>
    <w:rsid w:val="00596A22"/>
    <w:rsid w:val="00597D8E"/>
    <w:rsid w:val="00597F58"/>
    <w:rsid w:val="005A0022"/>
    <w:rsid w:val="005A0527"/>
    <w:rsid w:val="005A06D8"/>
    <w:rsid w:val="005A1112"/>
    <w:rsid w:val="005A1A92"/>
    <w:rsid w:val="005A1C72"/>
    <w:rsid w:val="005A20EE"/>
    <w:rsid w:val="005A2767"/>
    <w:rsid w:val="005A2F29"/>
    <w:rsid w:val="005A313A"/>
    <w:rsid w:val="005A3519"/>
    <w:rsid w:val="005A3EE6"/>
    <w:rsid w:val="005A4588"/>
    <w:rsid w:val="005A527A"/>
    <w:rsid w:val="005A5299"/>
    <w:rsid w:val="005A6526"/>
    <w:rsid w:val="005A66C3"/>
    <w:rsid w:val="005A70B9"/>
    <w:rsid w:val="005A7499"/>
    <w:rsid w:val="005A75A2"/>
    <w:rsid w:val="005A771A"/>
    <w:rsid w:val="005A7AFA"/>
    <w:rsid w:val="005A7B9E"/>
    <w:rsid w:val="005B0C95"/>
    <w:rsid w:val="005B12EF"/>
    <w:rsid w:val="005B17B0"/>
    <w:rsid w:val="005B19FD"/>
    <w:rsid w:val="005B1AFF"/>
    <w:rsid w:val="005B2425"/>
    <w:rsid w:val="005B2455"/>
    <w:rsid w:val="005B3990"/>
    <w:rsid w:val="005B3A84"/>
    <w:rsid w:val="005B41A2"/>
    <w:rsid w:val="005B4382"/>
    <w:rsid w:val="005B457E"/>
    <w:rsid w:val="005B513D"/>
    <w:rsid w:val="005B51BB"/>
    <w:rsid w:val="005B5AAE"/>
    <w:rsid w:val="005B5CB0"/>
    <w:rsid w:val="005B6210"/>
    <w:rsid w:val="005B6720"/>
    <w:rsid w:val="005B7095"/>
    <w:rsid w:val="005B71E4"/>
    <w:rsid w:val="005B7327"/>
    <w:rsid w:val="005B74E7"/>
    <w:rsid w:val="005B7A13"/>
    <w:rsid w:val="005B7A24"/>
    <w:rsid w:val="005C113E"/>
    <w:rsid w:val="005C14C5"/>
    <w:rsid w:val="005C19F2"/>
    <w:rsid w:val="005C1AA2"/>
    <w:rsid w:val="005C1AF9"/>
    <w:rsid w:val="005C1CA0"/>
    <w:rsid w:val="005C230B"/>
    <w:rsid w:val="005C245F"/>
    <w:rsid w:val="005C256D"/>
    <w:rsid w:val="005C2794"/>
    <w:rsid w:val="005C2A30"/>
    <w:rsid w:val="005C2B01"/>
    <w:rsid w:val="005C2E7A"/>
    <w:rsid w:val="005C3289"/>
    <w:rsid w:val="005C397F"/>
    <w:rsid w:val="005C3E67"/>
    <w:rsid w:val="005C4D71"/>
    <w:rsid w:val="005C616E"/>
    <w:rsid w:val="005C61CF"/>
    <w:rsid w:val="005C630B"/>
    <w:rsid w:val="005C64E9"/>
    <w:rsid w:val="005C65CA"/>
    <w:rsid w:val="005C6624"/>
    <w:rsid w:val="005C6BA3"/>
    <w:rsid w:val="005C6D1F"/>
    <w:rsid w:val="005C70DD"/>
    <w:rsid w:val="005C7347"/>
    <w:rsid w:val="005C7BB2"/>
    <w:rsid w:val="005D0233"/>
    <w:rsid w:val="005D08F2"/>
    <w:rsid w:val="005D0AE7"/>
    <w:rsid w:val="005D177A"/>
    <w:rsid w:val="005D1856"/>
    <w:rsid w:val="005D1B35"/>
    <w:rsid w:val="005D1C57"/>
    <w:rsid w:val="005D1E71"/>
    <w:rsid w:val="005D2544"/>
    <w:rsid w:val="005D2578"/>
    <w:rsid w:val="005D25AF"/>
    <w:rsid w:val="005D2614"/>
    <w:rsid w:val="005D266F"/>
    <w:rsid w:val="005D270D"/>
    <w:rsid w:val="005D27E6"/>
    <w:rsid w:val="005D2833"/>
    <w:rsid w:val="005D2AE1"/>
    <w:rsid w:val="005D2F04"/>
    <w:rsid w:val="005D2F99"/>
    <w:rsid w:val="005D346F"/>
    <w:rsid w:val="005D3B07"/>
    <w:rsid w:val="005D4130"/>
    <w:rsid w:val="005D5187"/>
    <w:rsid w:val="005D51E5"/>
    <w:rsid w:val="005D5671"/>
    <w:rsid w:val="005D5D99"/>
    <w:rsid w:val="005D68AD"/>
    <w:rsid w:val="005E0296"/>
    <w:rsid w:val="005E02E2"/>
    <w:rsid w:val="005E0334"/>
    <w:rsid w:val="005E052D"/>
    <w:rsid w:val="005E054C"/>
    <w:rsid w:val="005E0D73"/>
    <w:rsid w:val="005E0F75"/>
    <w:rsid w:val="005E13DB"/>
    <w:rsid w:val="005E1A56"/>
    <w:rsid w:val="005E1B42"/>
    <w:rsid w:val="005E1C78"/>
    <w:rsid w:val="005E211F"/>
    <w:rsid w:val="005E223D"/>
    <w:rsid w:val="005E2572"/>
    <w:rsid w:val="005E2A2E"/>
    <w:rsid w:val="005E3D0D"/>
    <w:rsid w:val="005E3F8D"/>
    <w:rsid w:val="005E4AEB"/>
    <w:rsid w:val="005E4FD8"/>
    <w:rsid w:val="005E54F2"/>
    <w:rsid w:val="005E5824"/>
    <w:rsid w:val="005E59B3"/>
    <w:rsid w:val="005E5D99"/>
    <w:rsid w:val="005E5EA2"/>
    <w:rsid w:val="005E5EBF"/>
    <w:rsid w:val="005E61BD"/>
    <w:rsid w:val="005E65BF"/>
    <w:rsid w:val="005E6C27"/>
    <w:rsid w:val="005E7117"/>
    <w:rsid w:val="005E71AC"/>
    <w:rsid w:val="005E764E"/>
    <w:rsid w:val="005F047D"/>
    <w:rsid w:val="005F0A99"/>
    <w:rsid w:val="005F0DCB"/>
    <w:rsid w:val="005F0F3D"/>
    <w:rsid w:val="005F1122"/>
    <w:rsid w:val="005F174A"/>
    <w:rsid w:val="005F1F98"/>
    <w:rsid w:val="005F2BC4"/>
    <w:rsid w:val="005F312F"/>
    <w:rsid w:val="005F3237"/>
    <w:rsid w:val="005F34F6"/>
    <w:rsid w:val="005F4800"/>
    <w:rsid w:val="005F48DF"/>
    <w:rsid w:val="005F4B77"/>
    <w:rsid w:val="005F4D81"/>
    <w:rsid w:val="005F5330"/>
    <w:rsid w:val="005F57E8"/>
    <w:rsid w:val="005F5B06"/>
    <w:rsid w:val="005F5B1C"/>
    <w:rsid w:val="005F5E4E"/>
    <w:rsid w:val="005F60E8"/>
    <w:rsid w:val="005F637E"/>
    <w:rsid w:val="005F639F"/>
    <w:rsid w:val="005F65A8"/>
    <w:rsid w:val="005F679D"/>
    <w:rsid w:val="005F7D72"/>
    <w:rsid w:val="00600010"/>
    <w:rsid w:val="00600679"/>
    <w:rsid w:val="00601380"/>
    <w:rsid w:val="006019EA"/>
    <w:rsid w:val="0060213D"/>
    <w:rsid w:val="00602B6C"/>
    <w:rsid w:val="00603206"/>
    <w:rsid w:val="00603766"/>
    <w:rsid w:val="006038C5"/>
    <w:rsid w:val="00603C39"/>
    <w:rsid w:val="0060401F"/>
    <w:rsid w:val="0060407C"/>
    <w:rsid w:val="0060435C"/>
    <w:rsid w:val="00604365"/>
    <w:rsid w:val="0060493B"/>
    <w:rsid w:val="00604F5E"/>
    <w:rsid w:val="006052BF"/>
    <w:rsid w:val="006057AF"/>
    <w:rsid w:val="00606F9A"/>
    <w:rsid w:val="00607633"/>
    <w:rsid w:val="00610132"/>
    <w:rsid w:val="006105BD"/>
    <w:rsid w:val="00610786"/>
    <w:rsid w:val="00610CB2"/>
    <w:rsid w:val="00610CC8"/>
    <w:rsid w:val="00611008"/>
    <w:rsid w:val="00611C61"/>
    <w:rsid w:val="00611E5B"/>
    <w:rsid w:val="00611EAD"/>
    <w:rsid w:val="00611FD0"/>
    <w:rsid w:val="0061219F"/>
    <w:rsid w:val="00612EC6"/>
    <w:rsid w:val="00612FF5"/>
    <w:rsid w:val="006136AD"/>
    <w:rsid w:val="006137B1"/>
    <w:rsid w:val="0061405B"/>
    <w:rsid w:val="006143C3"/>
    <w:rsid w:val="006143D7"/>
    <w:rsid w:val="006144B4"/>
    <w:rsid w:val="00614B26"/>
    <w:rsid w:val="00615285"/>
    <w:rsid w:val="00615935"/>
    <w:rsid w:val="00615B6F"/>
    <w:rsid w:val="00615B75"/>
    <w:rsid w:val="00616107"/>
    <w:rsid w:val="0061617F"/>
    <w:rsid w:val="00616429"/>
    <w:rsid w:val="0061645F"/>
    <w:rsid w:val="00616F83"/>
    <w:rsid w:val="006174F7"/>
    <w:rsid w:val="00617BE1"/>
    <w:rsid w:val="00617CDF"/>
    <w:rsid w:val="00617D18"/>
    <w:rsid w:val="006201B7"/>
    <w:rsid w:val="0062082E"/>
    <w:rsid w:val="0062118A"/>
    <w:rsid w:val="0062149C"/>
    <w:rsid w:val="00621648"/>
    <w:rsid w:val="00621CDA"/>
    <w:rsid w:val="006228FD"/>
    <w:rsid w:val="006235C4"/>
    <w:rsid w:val="0062373F"/>
    <w:rsid w:val="006241A7"/>
    <w:rsid w:val="00624838"/>
    <w:rsid w:val="006248F8"/>
    <w:rsid w:val="00624A4D"/>
    <w:rsid w:val="00625338"/>
    <w:rsid w:val="00625A80"/>
    <w:rsid w:val="0062604F"/>
    <w:rsid w:val="006265DC"/>
    <w:rsid w:val="0062676F"/>
    <w:rsid w:val="00626FA9"/>
    <w:rsid w:val="00627367"/>
    <w:rsid w:val="00630AF1"/>
    <w:rsid w:val="006310D7"/>
    <w:rsid w:val="006312BE"/>
    <w:rsid w:val="00631BB1"/>
    <w:rsid w:val="00631BEA"/>
    <w:rsid w:val="006328E8"/>
    <w:rsid w:val="00632CF3"/>
    <w:rsid w:val="00633574"/>
    <w:rsid w:val="00633AC2"/>
    <w:rsid w:val="00633F59"/>
    <w:rsid w:val="006342C1"/>
    <w:rsid w:val="00634650"/>
    <w:rsid w:val="006346C0"/>
    <w:rsid w:val="0063489E"/>
    <w:rsid w:val="00634DAA"/>
    <w:rsid w:val="006351AB"/>
    <w:rsid w:val="00635A40"/>
    <w:rsid w:val="00635AD1"/>
    <w:rsid w:val="006361F2"/>
    <w:rsid w:val="0063622A"/>
    <w:rsid w:val="00636806"/>
    <w:rsid w:val="0063681D"/>
    <w:rsid w:val="006368B8"/>
    <w:rsid w:val="006368FF"/>
    <w:rsid w:val="00636BF2"/>
    <w:rsid w:val="00636FED"/>
    <w:rsid w:val="00637733"/>
    <w:rsid w:val="00637FD4"/>
    <w:rsid w:val="006400D2"/>
    <w:rsid w:val="0064018A"/>
    <w:rsid w:val="0064055C"/>
    <w:rsid w:val="006405CF"/>
    <w:rsid w:val="00640EF3"/>
    <w:rsid w:val="0064222A"/>
    <w:rsid w:val="006423F4"/>
    <w:rsid w:val="006426BE"/>
    <w:rsid w:val="00642701"/>
    <w:rsid w:val="00642C8C"/>
    <w:rsid w:val="0064346E"/>
    <w:rsid w:val="006434D0"/>
    <w:rsid w:val="006435DE"/>
    <w:rsid w:val="0064364F"/>
    <w:rsid w:val="00643793"/>
    <w:rsid w:val="00643860"/>
    <w:rsid w:val="006438E5"/>
    <w:rsid w:val="0064423D"/>
    <w:rsid w:val="006447ED"/>
    <w:rsid w:val="006452BC"/>
    <w:rsid w:val="00645422"/>
    <w:rsid w:val="0064571A"/>
    <w:rsid w:val="006458D9"/>
    <w:rsid w:val="006470F6"/>
    <w:rsid w:val="00647103"/>
    <w:rsid w:val="00647218"/>
    <w:rsid w:val="00647A65"/>
    <w:rsid w:val="00647B9C"/>
    <w:rsid w:val="00647F0A"/>
    <w:rsid w:val="00650065"/>
    <w:rsid w:val="0065053A"/>
    <w:rsid w:val="0065079A"/>
    <w:rsid w:val="00650AAE"/>
    <w:rsid w:val="0065108E"/>
    <w:rsid w:val="006510BD"/>
    <w:rsid w:val="00651408"/>
    <w:rsid w:val="00651708"/>
    <w:rsid w:val="00651A08"/>
    <w:rsid w:val="00651B91"/>
    <w:rsid w:val="00651E07"/>
    <w:rsid w:val="00651E8C"/>
    <w:rsid w:val="00652000"/>
    <w:rsid w:val="006523AA"/>
    <w:rsid w:val="00652B8A"/>
    <w:rsid w:val="00652BBD"/>
    <w:rsid w:val="006532D7"/>
    <w:rsid w:val="006533FA"/>
    <w:rsid w:val="00653A3C"/>
    <w:rsid w:val="00653AA8"/>
    <w:rsid w:val="00653F19"/>
    <w:rsid w:val="0065417B"/>
    <w:rsid w:val="00654C0A"/>
    <w:rsid w:val="006551B1"/>
    <w:rsid w:val="00655369"/>
    <w:rsid w:val="00655D71"/>
    <w:rsid w:val="00655E34"/>
    <w:rsid w:val="00655E64"/>
    <w:rsid w:val="00656032"/>
    <w:rsid w:val="00656205"/>
    <w:rsid w:val="006564E9"/>
    <w:rsid w:val="0065682B"/>
    <w:rsid w:val="00656F44"/>
    <w:rsid w:val="006572BD"/>
    <w:rsid w:val="006575CD"/>
    <w:rsid w:val="006578B0"/>
    <w:rsid w:val="0065798A"/>
    <w:rsid w:val="00657BC0"/>
    <w:rsid w:val="00657CEB"/>
    <w:rsid w:val="00660504"/>
    <w:rsid w:val="006605A0"/>
    <w:rsid w:val="00660B53"/>
    <w:rsid w:val="00661314"/>
    <w:rsid w:val="006619DA"/>
    <w:rsid w:val="00661ADB"/>
    <w:rsid w:val="00661F35"/>
    <w:rsid w:val="0066244B"/>
    <w:rsid w:val="00662D79"/>
    <w:rsid w:val="00663B97"/>
    <w:rsid w:val="00663CD6"/>
    <w:rsid w:val="00664A3C"/>
    <w:rsid w:val="0066500A"/>
    <w:rsid w:val="00665619"/>
    <w:rsid w:val="006658FC"/>
    <w:rsid w:val="006663C3"/>
    <w:rsid w:val="006667FF"/>
    <w:rsid w:val="00667017"/>
    <w:rsid w:val="006675E3"/>
    <w:rsid w:val="00667A41"/>
    <w:rsid w:val="00667A48"/>
    <w:rsid w:val="00667D81"/>
    <w:rsid w:val="00667DF6"/>
    <w:rsid w:val="00667E0E"/>
    <w:rsid w:val="00667FD6"/>
    <w:rsid w:val="00670AE4"/>
    <w:rsid w:val="00670CE8"/>
    <w:rsid w:val="0067140A"/>
    <w:rsid w:val="0067266A"/>
    <w:rsid w:val="006727E0"/>
    <w:rsid w:val="00672848"/>
    <w:rsid w:val="00672D9F"/>
    <w:rsid w:val="00673A7B"/>
    <w:rsid w:val="00674DC4"/>
    <w:rsid w:val="00675042"/>
    <w:rsid w:val="0067551F"/>
    <w:rsid w:val="0067555B"/>
    <w:rsid w:val="006762E3"/>
    <w:rsid w:val="006766AA"/>
    <w:rsid w:val="00676A2C"/>
    <w:rsid w:val="0067765E"/>
    <w:rsid w:val="00677680"/>
    <w:rsid w:val="00677F2F"/>
    <w:rsid w:val="00680423"/>
    <w:rsid w:val="006804DA"/>
    <w:rsid w:val="006806D9"/>
    <w:rsid w:val="0068104C"/>
    <w:rsid w:val="006813AD"/>
    <w:rsid w:val="00681571"/>
    <w:rsid w:val="00681A7E"/>
    <w:rsid w:val="00681EA0"/>
    <w:rsid w:val="00682BFD"/>
    <w:rsid w:val="00683917"/>
    <w:rsid w:val="00683EDD"/>
    <w:rsid w:val="00684015"/>
    <w:rsid w:val="006846E5"/>
    <w:rsid w:val="00684DC3"/>
    <w:rsid w:val="00684F45"/>
    <w:rsid w:val="0068512F"/>
    <w:rsid w:val="00685532"/>
    <w:rsid w:val="00685568"/>
    <w:rsid w:val="00685C95"/>
    <w:rsid w:val="00686193"/>
    <w:rsid w:val="00686AA1"/>
    <w:rsid w:val="00686F03"/>
    <w:rsid w:val="00687C74"/>
    <w:rsid w:val="00687E46"/>
    <w:rsid w:val="00687E69"/>
    <w:rsid w:val="00687FE1"/>
    <w:rsid w:val="006900D3"/>
    <w:rsid w:val="00690343"/>
    <w:rsid w:val="006905D7"/>
    <w:rsid w:val="0069111F"/>
    <w:rsid w:val="00691506"/>
    <w:rsid w:val="00691983"/>
    <w:rsid w:val="00692508"/>
    <w:rsid w:val="0069251E"/>
    <w:rsid w:val="006925A9"/>
    <w:rsid w:val="00692CFB"/>
    <w:rsid w:val="00692D7D"/>
    <w:rsid w:val="006934AC"/>
    <w:rsid w:val="00694549"/>
    <w:rsid w:val="00694CDC"/>
    <w:rsid w:val="00694DFF"/>
    <w:rsid w:val="00695084"/>
    <w:rsid w:val="006952A0"/>
    <w:rsid w:val="006960C9"/>
    <w:rsid w:val="0069632E"/>
    <w:rsid w:val="00697169"/>
    <w:rsid w:val="0069730F"/>
    <w:rsid w:val="0069731A"/>
    <w:rsid w:val="00697362"/>
    <w:rsid w:val="0069772F"/>
    <w:rsid w:val="00697F54"/>
    <w:rsid w:val="006A007B"/>
    <w:rsid w:val="006A0482"/>
    <w:rsid w:val="006A051C"/>
    <w:rsid w:val="006A0769"/>
    <w:rsid w:val="006A08AE"/>
    <w:rsid w:val="006A09DD"/>
    <w:rsid w:val="006A0E22"/>
    <w:rsid w:val="006A1AE8"/>
    <w:rsid w:val="006A2464"/>
    <w:rsid w:val="006A24C9"/>
    <w:rsid w:val="006A24CD"/>
    <w:rsid w:val="006A2E0F"/>
    <w:rsid w:val="006A3542"/>
    <w:rsid w:val="006A36E0"/>
    <w:rsid w:val="006A38ED"/>
    <w:rsid w:val="006A3C4A"/>
    <w:rsid w:val="006A4655"/>
    <w:rsid w:val="006A4BCC"/>
    <w:rsid w:val="006A4D8F"/>
    <w:rsid w:val="006A4E8C"/>
    <w:rsid w:val="006A4F53"/>
    <w:rsid w:val="006A5074"/>
    <w:rsid w:val="006A52B3"/>
    <w:rsid w:val="006A5C0B"/>
    <w:rsid w:val="006A6265"/>
    <w:rsid w:val="006A676C"/>
    <w:rsid w:val="006A6A25"/>
    <w:rsid w:val="006A6B73"/>
    <w:rsid w:val="006A6D66"/>
    <w:rsid w:val="006A6E1A"/>
    <w:rsid w:val="006B07F8"/>
    <w:rsid w:val="006B0A6C"/>
    <w:rsid w:val="006B1408"/>
    <w:rsid w:val="006B197B"/>
    <w:rsid w:val="006B1BBA"/>
    <w:rsid w:val="006B1F6A"/>
    <w:rsid w:val="006B2C40"/>
    <w:rsid w:val="006B2EB0"/>
    <w:rsid w:val="006B327C"/>
    <w:rsid w:val="006B38F8"/>
    <w:rsid w:val="006B3917"/>
    <w:rsid w:val="006B3E17"/>
    <w:rsid w:val="006B41A2"/>
    <w:rsid w:val="006B41AA"/>
    <w:rsid w:val="006B43C2"/>
    <w:rsid w:val="006B4FCA"/>
    <w:rsid w:val="006B63AD"/>
    <w:rsid w:val="006B682C"/>
    <w:rsid w:val="006B6E5A"/>
    <w:rsid w:val="006B76A4"/>
    <w:rsid w:val="006B781C"/>
    <w:rsid w:val="006B7DEF"/>
    <w:rsid w:val="006C02BE"/>
    <w:rsid w:val="006C075A"/>
    <w:rsid w:val="006C13F4"/>
    <w:rsid w:val="006C161E"/>
    <w:rsid w:val="006C2507"/>
    <w:rsid w:val="006C258D"/>
    <w:rsid w:val="006C26DF"/>
    <w:rsid w:val="006C2A7C"/>
    <w:rsid w:val="006C3490"/>
    <w:rsid w:val="006C380F"/>
    <w:rsid w:val="006C3AB2"/>
    <w:rsid w:val="006C3C57"/>
    <w:rsid w:val="006C3FF4"/>
    <w:rsid w:val="006C4029"/>
    <w:rsid w:val="006C56A2"/>
    <w:rsid w:val="006C5DF9"/>
    <w:rsid w:val="006C64C0"/>
    <w:rsid w:val="006C67AB"/>
    <w:rsid w:val="006C682E"/>
    <w:rsid w:val="006C7080"/>
    <w:rsid w:val="006C7477"/>
    <w:rsid w:val="006C7689"/>
    <w:rsid w:val="006C79B9"/>
    <w:rsid w:val="006D004B"/>
    <w:rsid w:val="006D04EA"/>
    <w:rsid w:val="006D07D3"/>
    <w:rsid w:val="006D175C"/>
    <w:rsid w:val="006D1834"/>
    <w:rsid w:val="006D1D91"/>
    <w:rsid w:val="006D2A39"/>
    <w:rsid w:val="006D2D27"/>
    <w:rsid w:val="006D32BE"/>
    <w:rsid w:val="006D3354"/>
    <w:rsid w:val="006D34F0"/>
    <w:rsid w:val="006D3872"/>
    <w:rsid w:val="006D3939"/>
    <w:rsid w:val="006D3E20"/>
    <w:rsid w:val="006D3F0A"/>
    <w:rsid w:val="006D42E5"/>
    <w:rsid w:val="006D4BA8"/>
    <w:rsid w:val="006D4D07"/>
    <w:rsid w:val="006D635F"/>
    <w:rsid w:val="006D69F1"/>
    <w:rsid w:val="006D6C08"/>
    <w:rsid w:val="006D71E6"/>
    <w:rsid w:val="006D742A"/>
    <w:rsid w:val="006D7AEF"/>
    <w:rsid w:val="006D7F58"/>
    <w:rsid w:val="006E012F"/>
    <w:rsid w:val="006E076D"/>
    <w:rsid w:val="006E1D66"/>
    <w:rsid w:val="006E1D83"/>
    <w:rsid w:val="006E2099"/>
    <w:rsid w:val="006E21E7"/>
    <w:rsid w:val="006E2442"/>
    <w:rsid w:val="006E2477"/>
    <w:rsid w:val="006E294A"/>
    <w:rsid w:val="006E2E48"/>
    <w:rsid w:val="006E4F03"/>
    <w:rsid w:val="006E50B5"/>
    <w:rsid w:val="006E54F2"/>
    <w:rsid w:val="006E588D"/>
    <w:rsid w:val="006E609D"/>
    <w:rsid w:val="006E6614"/>
    <w:rsid w:val="006E6CE1"/>
    <w:rsid w:val="006E6EEF"/>
    <w:rsid w:val="006E72F2"/>
    <w:rsid w:val="006E7761"/>
    <w:rsid w:val="006E78A8"/>
    <w:rsid w:val="006E7BEF"/>
    <w:rsid w:val="006F07F6"/>
    <w:rsid w:val="006F0B19"/>
    <w:rsid w:val="006F0D30"/>
    <w:rsid w:val="006F1059"/>
    <w:rsid w:val="006F1249"/>
    <w:rsid w:val="006F1DA3"/>
    <w:rsid w:val="006F2505"/>
    <w:rsid w:val="006F2835"/>
    <w:rsid w:val="006F29BB"/>
    <w:rsid w:val="006F2A1F"/>
    <w:rsid w:val="006F2B59"/>
    <w:rsid w:val="006F2C25"/>
    <w:rsid w:val="006F3877"/>
    <w:rsid w:val="006F392B"/>
    <w:rsid w:val="006F3BDF"/>
    <w:rsid w:val="006F42E7"/>
    <w:rsid w:val="006F4D5F"/>
    <w:rsid w:val="006F56B7"/>
    <w:rsid w:val="006F5867"/>
    <w:rsid w:val="006F5DA1"/>
    <w:rsid w:val="006F5F2B"/>
    <w:rsid w:val="006F65F7"/>
    <w:rsid w:val="006F7020"/>
    <w:rsid w:val="006F7F09"/>
    <w:rsid w:val="00700115"/>
    <w:rsid w:val="00700152"/>
    <w:rsid w:val="0070080E"/>
    <w:rsid w:val="007008EC"/>
    <w:rsid w:val="00700D99"/>
    <w:rsid w:val="007012CC"/>
    <w:rsid w:val="00701731"/>
    <w:rsid w:val="00701944"/>
    <w:rsid w:val="00702010"/>
    <w:rsid w:val="0070211A"/>
    <w:rsid w:val="00702524"/>
    <w:rsid w:val="00702699"/>
    <w:rsid w:val="00704403"/>
    <w:rsid w:val="007044FF"/>
    <w:rsid w:val="00704BC7"/>
    <w:rsid w:val="00704D84"/>
    <w:rsid w:val="00704DAD"/>
    <w:rsid w:val="00704ED8"/>
    <w:rsid w:val="007055D1"/>
    <w:rsid w:val="007056F0"/>
    <w:rsid w:val="007058DE"/>
    <w:rsid w:val="007060AD"/>
    <w:rsid w:val="00706439"/>
    <w:rsid w:val="0070675E"/>
    <w:rsid w:val="00706D31"/>
    <w:rsid w:val="00706EC7"/>
    <w:rsid w:val="007075F7"/>
    <w:rsid w:val="00707701"/>
    <w:rsid w:val="0070791F"/>
    <w:rsid w:val="00707996"/>
    <w:rsid w:val="00707F5C"/>
    <w:rsid w:val="007106DF"/>
    <w:rsid w:val="007114B4"/>
    <w:rsid w:val="00711775"/>
    <w:rsid w:val="00711AA9"/>
    <w:rsid w:val="00711F56"/>
    <w:rsid w:val="00712A79"/>
    <w:rsid w:val="00712AAA"/>
    <w:rsid w:val="00713247"/>
    <w:rsid w:val="0071327F"/>
    <w:rsid w:val="00713604"/>
    <w:rsid w:val="00713B72"/>
    <w:rsid w:val="00713D90"/>
    <w:rsid w:val="00713E40"/>
    <w:rsid w:val="00713E6B"/>
    <w:rsid w:val="00714131"/>
    <w:rsid w:val="007149F3"/>
    <w:rsid w:val="007156A4"/>
    <w:rsid w:val="007161F8"/>
    <w:rsid w:val="007168B3"/>
    <w:rsid w:val="00716999"/>
    <w:rsid w:val="00716A7F"/>
    <w:rsid w:val="00716D4C"/>
    <w:rsid w:val="00716ED5"/>
    <w:rsid w:val="00717061"/>
    <w:rsid w:val="00717518"/>
    <w:rsid w:val="007175F2"/>
    <w:rsid w:val="00717BAD"/>
    <w:rsid w:val="00720022"/>
    <w:rsid w:val="0072005C"/>
    <w:rsid w:val="007206BE"/>
    <w:rsid w:val="0072104F"/>
    <w:rsid w:val="00721647"/>
    <w:rsid w:val="00721893"/>
    <w:rsid w:val="00721E1A"/>
    <w:rsid w:val="00722070"/>
    <w:rsid w:val="007221C8"/>
    <w:rsid w:val="00722537"/>
    <w:rsid w:val="007229B0"/>
    <w:rsid w:val="00722A45"/>
    <w:rsid w:val="007231C1"/>
    <w:rsid w:val="0072417A"/>
    <w:rsid w:val="007245C8"/>
    <w:rsid w:val="007246BD"/>
    <w:rsid w:val="00724894"/>
    <w:rsid w:val="007248E7"/>
    <w:rsid w:val="00724B6B"/>
    <w:rsid w:val="00724C3F"/>
    <w:rsid w:val="00724CFB"/>
    <w:rsid w:val="00724E7A"/>
    <w:rsid w:val="0072522A"/>
    <w:rsid w:val="0072571E"/>
    <w:rsid w:val="00725C7C"/>
    <w:rsid w:val="00725CB9"/>
    <w:rsid w:val="00725DBB"/>
    <w:rsid w:val="00725E98"/>
    <w:rsid w:val="0072671C"/>
    <w:rsid w:val="00726927"/>
    <w:rsid w:val="00726A76"/>
    <w:rsid w:val="00726CA6"/>
    <w:rsid w:val="0072745F"/>
    <w:rsid w:val="0072784C"/>
    <w:rsid w:val="00727BCB"/>
    <w:rsid w:val="00730226"/>
    <w:rsid w:val="00730507"/>
    <w:rsid w:val="007308C3"/>
    <w:rsid w:val="00730BF9"/>
    <w:rsid w:val="0073277E"/>
    <w:rsid w:val="00732F26"/>
    <w:rsid w:val="00733584"/>
    <w:rsid w:val="007336D7"/>
    <w:rsid w:val="00734095"/>
    <w:rsid w:val="007342D1"/>
    <w:rsid w:val="007345A9"/>
    <w:rsid w:val="0073467C"/>
    <w:rsid w:val="00734C94"/>
    <w:rsid w:val="00735385"/>
    <w:rsid w:val="00735E11"/>
    <w:rsid w:val="00735E58"/>
    <w:rsid w:val="007369EA"/>
    <w:rsid w:val="00737144"/>
    <w:rsid w:val="00737592"/>
    <w:rsid w:val="007376BF"/>
    <w:rsid w:val="00737911"/>
    <w:rsid w:val="00737E1A"/>
    <w:rsid w:val="00740230"/>
    <w:rsid w:val="00740313"/>
    <w:rsid w:val="007407C7"/>
    <w:rsid w:val="00740A3E"/>
    <w:rsid w:val="00740F10"/>
    <w:rsid w:val="0074167E"/>
    <w:rsid w:val="0074184E"/>
    <w:rsid w:val="00741ACB"/>
    <w:rsid w:val="00741D0A"/>
    <w:rsid w:val="00741E1A"/>
    <w:rsid w:val="00743881"/>
    <w:rsid w:val="00743C7E"/>
    <w:rsid w:val="0074435F"/>
    <w:rsid w:val="0074468D"/>
    <w:rsid w:val="00744F1D"/>
    <w:rsid w:val="00745FFD"/>
    <w:rsid w:val="00746106"/>
    <w:rsid w:val="00746499"/>
    <w:rsid w:val="00746AB4"/>
    <w:rsid w:val="0074773B"/>
    <w:rsid w:val="00747C5E"/>
    <w:rsid w:val="00747CDD"/>
    <w:rsid w:val="0075065F"/>
    <w:rsid w:val="00750684"/>
    <w:rsid w:val="007509CC"/>
    <w:rsid w:val="00750D73"/>
    <w:rsid w:val="007518D8"/>
    <w:rsid w:val="00751976"/>
    <w:rsid w:val="00751EA3"/>
    <w:rsid w:val="00751EFD"/>
    <w:rsid w:val="00752C9F"/>
    <w:rsid w:val="00752DC9"/>
    <w:rsid w:val="00753200"/>
    <w:rsid w:val="00753997"/>
    <w:rsid w:val="00753B0B"/>
    <w:rsid w:val="00754376"/>
    <w:rsid w:val="00754497"/>
    <w:rsid w:val="00754502"/>
    <w:rsid w:val="00754824"/>
    <w:rsid w:val="00754A29"/>
    <w:rsid w:val="00754C44"/>
    <w:rsid w:val="00754D20"/>
    <w:rsid w:val="00754FA8"/>
    <w:rsid w:val="007550FF"/>
    <w:rsid w:val="007554E3"/>
    <w:rsid w:val="00755CEA"/>
    <w:rsid w:val="00755FC3"/>
    <w:rsid w:val="00755FEF"/>
    <w:rsid w:val="0075616F"/>
    <w:rsid w:val="00756AA1"/>
    <w:rsid w:val="00756B87"/>
    <w:rsid w:val="007573E5"/>
    <w:rsid w:val="00757483"/>
    <w:rsid w:val="007576E5"/>
    <w:rsid w:val="00757F04"/>
    <w:rsid w:val="00757FAA"/>
    <w:rsid w:val="007601FD"/>
    <w:rsid w:val="007602D1"/>
    <w:rsid w:val="00760F56"/>
    <w:rsid w:val="007610DE"/>
    <w:rsid w:val="007612EF"/>
    <w:rsid w:val="00761E39"/>
    <w:rsid w:val="00761F29"/>
    <w:rsid w:val="00762627"/>
    <w:rsid w:val="00762D53"/>
    <w:rsid w:val="00762D6C"/>
    <w:rsid w:val="007630B2"/>
    <w:rsid w:val="0076351B"/>
    <w:rsid w:val="00763F48"/>
    <w:rsid w:val="007647E2"/>
    <w:rsid w:val="007648D6"/>
    <w:rsid w:val="00764A83"/>
    <w:rsid w:val="00764C21"/>
    <w:rsid w:val="007652B6"/>
    <w:rsid w:val="0076564C"/>
    <w:rsid w:val="00765966"/>
    <w:rsid w:val="00766506"/>
    <w:rsid w:val="0076672F"/>
    <w:rsid w:val="00766793"/>
    <w:rsid w:val="00766A7B"/>
    <w:rsid w:val="00767127"/>
    <w:rsid w:val="00767488"/>
    <w:rsid w:val="007676F3"/>
    <w:rsid w:val="00767992"/>
    <w:rsid w:val="007708AE"/>
    <w:rsid w:val="00770AEC"/>
    <w:rsid w:val="00770D0F"/>
    <w:rsid w:val="00771956"/>
    <w:rsid w:val="00771B0C"/>
    <w:rsid w:val="00771CEC"/>
    <w:rsid w:val="00772B97"/>
    <w:rsid w:val="007733D2"/>
    <w:rsid w:val="0077344B"/>
    <w:rsid w:val="0077348F"/>
    <w:rsid w:val="00773490"/>
    <w:rsid w:val="007734EB"/>
    <w:rsid w:val="007738C9"/>
    <w:rsid w:val="00773A44"/>
    <w:rsid w:val="007740A6"/>
    <w:rsid w:val="0077587F"/>
    <w:rsid w:val="00775F9A"/>
    <w:rsid w:val="00775FDB"/>
    <w:rsid w:val="00776352"/>
    <w:rsid w:val="00776B44"/>
    <w:rsid w:val="00776C91"/>
    <w:rsid w:val="00776DD1"/>
    <w:rsid w:val="00776E7B"/>
    <w:rsid w:val="00776E86"/>
    <w:rsid w:val="0077715A"/>
    <w:rsid w:val="00777164"/>
    <w:rsid w:val="00780111"/>
    <w:rsid w:val="007803F2"/>
    <w:rsid w:val="007806FC"/>
    <w:rsid w:val="00780812"/>
    <w:rsid w:val="00781237"/>
    <w:rsid w:val="00781751"/>
    <w:rsid w:val="00781BAF"/>
    <w:rsid w:val="00782050"/>
    <w:rsid w:val="0078209D"/>
    <w:rsid w:val="007821A7"/>
    <w:rsid w:val="00782991"/>
    <w:rsid w:val="00782DC5"/>
    <w:rsid w:val="0078307C"/>
    <w:rsid w:val="0078358A"/>
    <w:rsid w:val="00783834"/>
    <w:rsid w:val="00783B07"/>
    <w:rsid w:val="00783CBA"/>
    <w:rsid w:val="00784A7B"/>
    <w:rsid w:val="00785091"/>
    <w:rsid w:val="00785CAA"/>
    <w:rsid w:val="00785D8C"/>
    <w:rsid w:val="00786452"/>
    <w:rsid w:val="00786B09"/>
    <w:rsid w:val="0078707E"/>
    <w:rsid w:val="0078710A"/>
    <w:rsid w:val="00787C83"/>
    <w:rsid w:val="00787DAE"/>
    <w:rsid w:val="00787E9E"/>
    <w:rsid w:val="0079002E"/>
    <w:rsid w:val="0079006C"/>
    <w:rsid w:val="007901A7"/>
    <w:rsid w:val="00790A85"/>
    <w:rsid w:val="00791006"/>
    <w:rsid w:val="00791617"/>
    <w:rsid w:val="00791CEC"/>
    <w:rsid w:val="007921CD"/>
    <w:rsid w:val="00792627"/>
    <w:rsid w:val="0079338E"/>
    <w:rsid w:val="0079349B"/>
    <w:rsid w:val="00793D8F"/>
    <w:rsid w:val="00794EB5"/>
    <w:rsid w:val="00794EF5"/>
    <w:rsid w:val="007955F0"/>
    <w:rsid w:val="00795B46"/>
    <w:rsid w:val="00795EA0"/>
    <w:rsid w:val="00795EE9"/>
    <w:rsid w:val="00796C08"/>
    <w:rsid w:val="00796D95"/>
    <w:rsid w:val="00796EE8"/>
    <w:rsid w:val="00796EF5"/>
    <w:rsid w:val="00797B8D"/>
    <w:rsid w:val="007A0655"/>
    <w:rsid w:val="007A06DC"/>
    <w:rsid w:val="007A0BCE"/>
    <w:rsid w:val="007A0E33"/>
    <w:rsid w:val="007A0FD9"/>
    <w:rsid w:val="007A12FA"/>
    <w:rsid w:val="007A1441"/>
    <w:rsid w:val="007A1BBC"/>
    <w:rsid w:val="007A25F6"/>
    <w:rsid w:val="007A335E"/>
    <w:rsid w:val="007A353D"/>
    <w:rsid w:val="007A36DE"/>
    <w:rsid w:val="007A38F9"/>
    <w:rsid w:val="007A3B7C"/>
    <w:rsid w:val="007A3BBD"/>
    <w:rsid w:val="007A438C"/>
    <w:rsid w:val="007A4558"/>
    <w:rsid w:val="007A46C9"/>
    <w:rsid w:val="007A4AD4"/>
    <w:rsid w:val="007A4F18"/>
    <w:rsid w:val="007A6067"/>
    <w:rsid w:val="007A6165"/>
    <w:rsid w:val="007A64EC"/>
    <w:rsid w:val="007A6791"/>
    <w:rsid w:val="007A6850"/>
    <w:rsid w:val="007A72C5"/>
    <w:rsid w:val="007A74A6"/>
    <w:rsid w:val="007A74E3"/>
    <w:rsid w:val="007A77EC"/>
    <w:rsid w:val="007A79CE"/>
    <w:rsid w:val="007B0784"/>
    <w:rsid w:val="007B1260"/>
    <w:rsid w:val="007B177D"/>
    <w:rsid w:val="007B186B"/>
    <w:rsid w:val="007B2000"/>
    <w:rsid w:val="007B249B"/>
    <w:rsid w:val="007B3278"/>
    <w:rsid w:val="007B370F"/>
    <w:rsid w:val="007B37A0"/>
    <w:rsid w:val="007B38C7"/>
    <w:rsid w:val="007B3C19"/>
    <w:rsid w:val="007B3FC8"/>
    <w:rsid w:val="007B40B2"/>
    <w:rsid w:val="007B500D"/>
    <w:rsid w:val="007B5144"/>
    <w:rsid w:val="007B5BEB"/>
    <w:rsid w:val="007B6461"/>
    <w:rsid w:val="007B6583"/>
    <w:rsid w:val="007B6843"/>
    <w:rsid w:val="007B6A0E"/>
    <w:rsid w:val="007B6AD8"/>
    <w:rsid w:val="007B707B"/>
    <w:rsid w:val="007B7DE3"/>
    <w:rsid w:val="007B7ECD"/>
    <w:rsid w:val="007C0E8F"/>
    <w:rsid w:val="007C1004"/>
    <w:rsid w:val="007C102F"/>
    <w:rsid w:val="007C10DA"/>
    <w:rsid w:val="007C1608"/>
    <w:rsid w:val="007C18A4"/>
    <w:rsid w:val="007C1DAE"/>
    <w:rsid w:val="007C2575"/>
    <w:rsid w:val="007C3AA2"/>
    <w:rsid w:val="007C4086"/>
    <w:rsid w:val="007C44F8"/>
    <w:rsid w:val="007C4A55"/>
    <w:rsid w:val="007C5D0B"/>
    <w:rsid w:val="007C6068"/>
    <w:rsid w:val="007C6182"/>
    <w:rsid w:val="007C64A8"/>
    <w:rsid w:val="007C68EA"/>
    <w:rsid w:val="007C6E48"/>
    <w:rsid w:val="007C7035"/>
    <w:rsid w:val="007C706F"/>
    <w:rsid w:val="007D015E"/>
    <w:rsid w:val="007D0207"/>
    <w:rsid w:val="007D02A7"/>
    <w:rsid w:val="007D03FF"/>
    <w:rsid w:val="007D07CB"/>
    <w:rsid w:val="007D0BF2"/>
    <w:rsid w:val="007D0EE8"/>
    <w:rsid w:val="007D1215"/>
    <w:rsid w:val="007D1492"/>
    <w:rsid w:val="007D2352"/>
    <w:rsid w:val="007D2B1A"/>
    <w:rsid w:val="007D2EE7"/>
    <w:rsid w:val="007D3063"/>
    <w:rsid w:val="007D31F3"/>
    <w:rsid w:val="007D373F"/>
    <w:rsid w:val="007D4EAC"/>
    <w:rsid w:val="007D5503"/>
    <w:rsid w:val="007D5B0C"/>
    <w:rsid w:val="007D617A"/>
    <w:rsid w:val="007D6249"/>
    <w:rsid w:val="007D68E3"/>
    <w:rsid w:val="007D6E80"/>
    <w:rsid w:val="007D76F2"/>
    <w:rsid w:val="007E0430"/>
    <w:rsid w:val="007E0484"/>
    <w:rsid w:val="007E04D4"/>
    <w:rsid w:val="007E0691"/>
    <w:rsid w:val="007E0C61"/>
    <w:rsid w:val="007E0E4E"/>
    <w:rsid w:val="007E0EF3"/>
    <w:rsid w:val="007E10F5"/>
    <w:rsid w:val="007E24E2"/>
    <w:rsid w:val="007E2667"/>
    <w:rsid w:val="007E2D45"/>
    <w:rsid w:val="007E3A0E"/>
    <w:rsid w:val="007E404F"/>
    <w:rsid w:val="007E4180"/>
    <w:rsid w:val="007E4700"/>
    <w:rsid w:val="007E4BFE"/>
    <w:rsid w:val="007E4E2A"/>
    <w:rsid w:val="007E5AE9"/>
    <w:rsid w:val="007E5BA5"/>
    <w:rsid w:val="007E5C11"/>
    <w:rsid w:val="007E5C96"/>
    <w:rsid w:val="007E644E"/>
    <w:rsid w:val="007E6560"/>
    <w:rsid w:val="007E7359"/>
    <w:rsid w:val="007E746E"/>
    <w:rsid w:val="007E7703"/>
    <w:rsid w:val="007E7B93"/>
    <w:rsid w:val="007E7FED"/>
    <w:rsid w:val="007F0926"/>
    <w:rsid w:val="007F0937"/>
    <w:rsid w:val="007F0CDE"/>
    <w:rsid w:val="007F0D9C"/>
    <w:rsid w:val="007F0EBA"/>
    <w:rsid w:val="007F10C4"/>
    <w:rsid w:val="007F132E"/>
    <w:rsid w:val="007F1477"/>
    <w:rsid w:val="007F1929"/>
    <w:rsid w:val="007F26A4"/>
    <w:rsid w:val="007F27E9"/>
    <w:rsid w:val="007F2D77"/>
    <w:rsid w:val="007F38B4"/>
    <w:rsid w:val="007F46BD"/>
    <w:rsid w:val="007F46FF"/>
    <w:rsid w:val="007F493B"/>
    <w:rsid w:val="007F4CA5"/>
    <w:rsid w:val="007F57BC"/>
    <w:rsid w:val="007F5FAB"/>
    <w:rsid w:val="007F601E"/>
    <w:rsid w:val="007F6A4A"/>
    <w:rsid w:val="007F741A"/>
    <w:rsid w:val="007F7489"/>
    <w:rsid w:val="00801345"/>
    <w:rsid w:val="008017DC"/>
    <w:rsid w:val="00802129"/>
    <w:rsid w:val="0080239E"/>
    <w:rsid w:val="00802871"/>
    <w:rsid w:val="008032A1"/>
    <w:rsid w:val="00803515"/>
    <w:rsid w:val="0080358A"/>
    <w:rsid w:val="00803660"/>
    <w:rsid w:val="00803F9A"/>
    <w:rsid w:val="00804C04"/>
    <w:rsid w:val="00804F51"/>
    <w:rsid w:val="0080534E"/>
    <w:rsid w:val="0080557F"/>
    <w:rsid w:val="008058BB"/>
    <w:rsid w:val="00806249"/>
    <w:rsid w:val="00806318"/>
    <w:rsid w:val="008067A2"/>
    <w:rsid w:val="00806E62"/>
    <w:rsid w:val="008073B4"/>
    <w:rsid w:val="00807757"/>
    <w:rsid w:val="00807AD5"/>
    <w:rsid w:val="00807CBE"/>
    <w:rsid w:val="00807CE9"/>
    <w:rsid w:val="00807EC8"/>
    <w:rsid w:val="00810345"/>
    <w:rsid w:val="00810614"/>
    <w:rsid w:val="008106B1"/>
    <w:rsid w:val="00810CA7"/>
    <w:rsid w:val="00810CB1"/>
    <w:rsid w:val="0081136E"/>
    <w:rsid w:val="008114D2"/>
    <w:rsid w:val="008123FC"/>
    <w:rsid w:val="00813601"/>
    <w:rsid w:val="008140F2"/>
    <w:rsid w:val="00814D78"/>
    <w:rsid w:val="00814EC0"/>
    <w:rsid w:val="0081538D"/>
    <w:rsid w:val="008158B9"/>
    <w:rsid w:val="00815AB8"/>
    <w:rsid w:val="00816C37"/>
    <w:rsid w:val="00816CB2"/>
    <w:rsid w:val="0082011E"/>
    <w:rsid w:val="00820C5D"/>
    <w:rsid w:val="00820FBC"/>
    <w:rsid w:val="00820FF7"/>
    <w:rsid w:val="0082112A"/>
    <w:rsid w:val="008215BF"/>
    <w:rsid w:val="008219B2"/>
    <w:rsid w:val="00822123"/>
    <w:rsid w:val="00822A9A"/>
    <w:rsid w:val="00822E60"/>
    <w:rsid w:val="00822EE0"/>
    <w:rsid w:val="00823051"/>
    <w:rsid w:val="008231BC"/>
    <w:rsid w:val="00823968"/>
    <w:rsid w:val="00823B9D"/>
    <w:rsid w:val="00824322"/>
    <w:rsid w:val="008245F0"/>
    <w:rsid w:val="00824E1B"/>
    <w:rsid w:val="008252D5"/>
    <w:rsid w:val="00825D51"/>
    <w:rsid w:val="00826D2A"/>
    <w:rsid w:val="00826FB1"/>
    <w:rsid w:val="008271AA"/>
    <w:rsid w:val="008274EC"/>
    <w:rsid w:val="00827596"/>
    <w:rsid w:val="008300C5"/>
    <w:rsid w:val="008301B0"/>
    <w:rsid w:val="008301C7"/>
    <w:rsid w:val="008307B2"/>
    <w:rsid w:val="00830871"/>
    <w:rsid w:val="00830ED5"/>
    <w:rsid w:val="0083146F"/>
    <w:rsid w:val="008314B9"/>
    <w:rsid w:val="00831872"/>
    <w:rsid w:val="00831FD9"/>
    <w:rsid w:val="00832015"/>
    <w:rsid w:val="0083248D"/>
    <w:rsid w:val="00832696"/>
    <w:rsid w:val="008328ED"/>
    <w:rsid w:val="00832A44"/>
    <w:rsid w:val="008331EF"/>
    <w:rsid w:val="008334A0"/>
    <w:rsid w:val="00833548"/>
    <w:rsid w:val="00833609"/>
    <w:rsid w:val="008338D0"/>
    <w:rsid w:val="00833CDC"/>
    <w:rsid w:val="0083403F"/>
    <w:rsid w:val="0083438D"/>
    <w:rsid w:val="008344F6"/>
    <w:rsid w:val="00834FAE"/>
    <w:rsid w:val="00835560"/>
    <w:rsid w:val="00835931"/>
    <w:rsid w:val="00835989"/>
    <w:rsid w:val="00835B29"/>
    <w:rsid w:val="00835C54"/>
    <w:rsid w:val="0083676B"/>
    <w:rsid w:val="00836B4F"/>
    <w:rsid w:val="00836E38"/>
    <w:rsid w:val="00836ED4"/>
    <w:rsid w:val="0083705A"/>
    <w:rsid w:val="0083759D"/>
    <w:rsid w:val="00837A29"/>
    <w:rsid w:val="00837E3D"/>
    <w:rsid w:val="00840320"/>
    <w:rsid w:val="0084053F"/>
    <w:rsid w:val="00841307"/>
    <w:rsid w:val="00841A39"/>
    <w:rsid w:val="008420D3"/>
    <w:rsid w:val="008423B0"/>
    <w:rsid w:val="00842A2A"/>
    <w:rsid w:val="00842B2B"/>
    <w:rsid w:val="008435C0"/>
    <w:rsid w:val="00843C20"/>
    <w:rsid w:val="00843C35"/>
    <w:rsid w:val="00843F86"/>
    <w:rsid w:val="00844254"/>
    <w:rsid w:val="00844762"/>
    <w:rsid w:val="00844944"/>
    <w:rsid w:val="00844C98"/>
    <w:rsid w:val="00844EE6"/>
    <w:rsid w:val="008454B6"/>
    <w:rsid w:val="00845E0F"/>
    <w:rsid w:val="00845FCE"/>
    <w:rsid w:val="008462B2"/>
    <w:rsid w:val="00846BAA"/>
    <w:rsid w:val="00847094"/>
    <w:rsid w:val="00847932"/>
    <w:rsid w:val="00847DD3"/>
    <w:rsid w:val="00847FED"/>
    <w:rsid w:val="00851FD7"/>
    <w:rsid w:val="008520D0"/>
    <w:rsid w:val="0085223F"/>
    <w:rsid w:val="00852AA8"/>
    <w:rsid w:val="008536F5"/>
    <w:rsid w:val="008544CB"/>
    <w:rsid w:val="008545AD"/>
    <w:rsid w:val="008546C4"/>
    <w:rsid w:val="00854D47"/>
    <w:rsid w:val="008550B9"/>
    <w:rsid w:val="0085625F"/>
    <w:rsid w:val="00856534"/>
    <w:rsid w:val="0085676C"/>
    <w:rsid w:val="0085698D"/>
    <w:rsid w:val="0085710C"/>
    <w:rsid w:val="008574D0"/>
    <w:rsid w:val="008577CE"/>
    <w:rsid w:val="00857D94"/>
    <w:rsid w:val="0086001A"/>
    <w:rsid w:val="0086011F"/>
    <w:rsid w:val="00860148"/>
    <w:rsid w:val="00860279"/>
    <w:rsid w:val="0086027F"/>
    <w:rsid w:val="00860536"/>
    <w:rsid w:val="0086073F"/>
    <w:rsid w:val="00860AD3"/>
    <w:rsid w:val="008610B6"/>
    <w:rsid w:val="00861A20"/>
    <w:rsid w:val="00862097"/>
    <w:rsid w:val="008620EC"/>
    <w:rsid w:val="008628B1"/>
    <w:rsid w:val="00862C4A"/>
    <w:rsid w:val="00862D72"/>
    <w:rsid w:val="00862DD6"/>
    <w:rsid w:val="00862E3A"/>
    <w:rsid w:val="00862F0E"/>
    <w:rsid w:val="008640D7"/>
    <w:rsid w:val="00864AB3"/>
    <w:rsid w:val="00864C4F"/>
    <w:rsid w:val="0086549F"/>
    <w:rsid w:val="00865AA9"/>
    <w:rsid w:val="008661ED"/>
    <w:rsid w:val="00866A76"/>
    <w:rsid w:val="00866ACD"/>
    <w:rsid w:val="00867E3B"/>
    <w:rsid w:val="008702B7"/>
    <w:rsid w:val="00871FC9"/>
    <w:rsid w:val="00872061"/>
    <w:rsid w:val="0087241F"/>
    <w:rsid w:val="00872430"/>
    <w:rsid w:val="00872D18"/>
    <w:rsid w:val="00873924"/>
    <w:rsid w:val="00873945"/>
    <w:rsid w:val="00873D2E"/>
    <w:rsid w:val="00873FBF"/>
    <w:rsid w:val="00874341"/>
    <w:rsid w:val="0087435F"/>
    <w:rsid w:val="00874A38"/>
    <w:rsid w:val="00874E58"/>
    <w:rsid w:val="00875266"/>
    <w:rsid w:val="00875442"/>
    <w:rsid w:val="00875701"/>
    <w:rsid w:val="00875FC1"/>
    <w:rsid w:val="0087687B"/>
    <w:rsid w:val="00876DE3"/>
    <w:rsid w:val="0087714F"/>
    <w:rsid w:val="0087725D"/>
    <w:rsid w:val="008778F2"/>
    <w:rsid w:val="00877B04"/>
    <w:rsid w:val="00877F6D"/>
    <w:rsid w:val="008804C5"/>
    <w:rsid w:val="00881D35"/>
    <w:rsid w:val="00881DC0"/>
    <w:rsid w:val="00881E2D"/>
    <w:rsid w:val="00881E53"/>
    <w:rsid w:val="00882291"/>
    <w:rsid w:val="00882410"/>
    <w:rsid w:val="00882857"/>
    <w:rsid w:val="00882E03"/>
    <w:rsid w:val="00882F13"/>
    <w:rsid w:val="008830B7"/>
    <w:rsid w:val="008839C7"/>
    <w:rsid w:val="00883C0B"/>
    <w:rsid w:val="00884071"/>
    <w:rsid w:val="008840ED"/>
    <w:rsid w:val="008847D0"/>
    <w:rsid w:val="008852CC"/>
    <w:rsid w:val="00885BED"/>
    <w:rsid w:val="0088658E"/>
    <w:rsid w:val="0088680A"/>
    <w:rsid w:val="008869FD"/>
    <w:rsid w:val="00886A99"/>
    <w:rsid w:val="00886AF4"/>
    <w:rsid w:val="00887DAA"/>
    <w:rsid w:val="00887F50"/>
    <w:rsid w:val="00890EFB"/>
    <w:rsid w:val="00890F1E"/>
    <w:rsid w:val="008911C5"/>
    <w:rsid w:val="00891529"/>
    <w:rsid w:val="00891B79"/>
    <w:rsid w:val="00891C52"/>
    <w:rsid w:val="00892580"/>
    <w:rsid w:val="00892C9C"/>
    <w:rsid w:val="00893A14"/>
    <w:rsid w:val="00893E46"/>
    <w:rsid w:val="00893EC4"/>
    <w:rsid w:val="00893EE6"/>
    <w:rsid w:val="008942D8"/>
    <w:rsid w:val="008942EE"/>
    <w:rsid w:val="00894551"/>
    <w:rsid w:val="008947AD"/>
    <w:rsid w:val="00894BDD"/>
    <w:rsid w:val="008955AE"/>
    <w:rsid w:val="00895CDD"/>
    <w:rsid w:val="00896310"/>
    <w:rsid w:val="008966C6"/>
    <w:rsid w:val="00896D88"/>
    <w:rsid w:val="00897355"/>
    <w:rsid w:val="00897929"/>
    <w:rsid w:val="008A0E34"/>
    <w:rsid w:val="008A0F2A"/>
    <w:rsid w:val="008A157A"/>
    <w:rsid w:val="008A1B31"/>
    <w:rsid w:val="008A20BD"/>
    <w:rsid w:val="008A2806"/>
    <w:rsid w:val="008A2949"/>
    <w:rsid w:val="008A297C"/>
    <w:rsid w:val="008A2A3E"/>
    <w:rsid w:val="008A2E30"/>
    <w:rsid w:val="008A3719"/>
    <w:rsid w:val="008A39E2"/>
    <w:rsid w:val="008A3A24"/>
    <w:rsid w:val="008A4728"/>
    <w:rsid w:val="008A4F9F"/>
    <w:rsid w:val="008A5C3F"/>
    <w:rsid w:val="008A5CBC"/>
    <w:rsid w:val="008A6DA8"/>
    <w:rsid w:val="008A714A"/>
    <w:rsid w:val="008A760A"/>
    <w:rsid w:val="008A7709"/>
    <w:rsid w:val="008B010D"/>
    <w:rsid w:val="008B0297"/>
    <w:rsid w:val="008B0512"/>
    <w:rsid w:val="008B0A16"/>
    <w:rsid w:val="008B0F34"/>
    <w:rsid w:val="008B1016"/>
    <w:rsid w:val="008B11A6"/>
    <w:rsid w:val="008B145F"/>
    <w:rsid w:val="008B1829"/>
    <w:rsid w:val="008B2534"/>
    <w:rsid w:val="008B258A"/>
    <w:rsid w:val="008B27B3"/>
    <w:rsid w:val="008B3637"/>
    <w:rsid w:val="008B3E32"/>
    <w:rsid w:val="008B4CF9"/>
    <w:rsid w:val="008B530A"/>
    <w:rsid w:val="008B5450"/>
    <w:rsid w:val="008B55B9"/>
    <w:rsid w:val="008B5A29"/>
    <w:rsid w:val="008B6797"/>
    <w:rsid w:val="008B68AD"/>
    <w:rsid w:val="008B6C90"/>
    <w:rsid w:val="008B6D25"/>
    <w:rsid w:val="008B6D88"/>
    <w:rsid w:val="008B7D51"/>
    <w:rsid w:val="008C0D12"/>
    <w:rsid w:val="008C0D30"/>
    <w:rsid w:val="008C0D4D"/>
    <w:rsid w:val="008C30B1"/>
    <w:rsid w:val="008C40D8"/>
    <w:rsid w:val="008C469E"/>
    <w:rsid w:val="008C5887"/>
    <w:rsid w:val="008C58A8"/>
    <w:rsid w:val="008C5CBE"/>
    <w:rsid w:val="008C5FDF"/>
    <w:rsid w:val="008C6699"/>
    <w:rsid w:val="008C6DC2"/>
    <w:rsid w:val="008C6EFF"/>
    <w:rsid w:val="008C72A2"/>
    <w:rsid w:val="008C741F"/>
    <w:rsid w:val="008C75FA"/>
    <w:rsid w:val="008C7CB7"/>
    <w:rsid w:val="008D0551"/>
    <w:rsid w:val="008D07AF"/>
    <w:rsid w:val="008D07FF"/>
    <w:rsid w:val="008D0C50"/>
    <w:rsid w:val="008D17A3"/>
    <w:rsid w:val="008D1BAA"/>
    <w:rsid w:val="008D1F8F"/>
    <w:rsid w:val="008D253A"/>
    <w:rsid w:val="008D39AB"/>
    <w:rsid w:val="008D39D4"/>
    <w:rsid w:val="008D3A33"/>
    <w:rsid w:val="008D3FA2"/>
    <w:rsid w:val="008D402C"/>
    <w:rsid w:val="008D461A"/>
    <w:rsid w:val="008D4861"/>
    <w:rsid w:val="008D501E"/>
    <w:rsid w:val="008D5A5E"/>
    <w:rsid w:val="008D5BF7"/>
    <w:rsid w:val="008D691E"/>
    <w:rsid w:val="008D6CA9"/>
    <w:rsid w:val="008E023C"/>
    <w:rsid w:val="008E0B3E"/>
    <w:rsid w:val="008E0E0E"/>
    <w:rsid w:val="008E1608"/>
    <w:rsid w:val="008E188A"/>
    <w:rsid w:val="008E1AF8"/>
    <w:rsid w:val="008E2007"/>
    <w:rsid w:val="008E2424"/>
    <w:rsid w:val="008E2B40"/>
    <w:rsid w:val="008E2C3F"/>
    <w:rsid w:val="008E2C63"/>
    <w:rsid w:val="008E2FBE"/>
    <w:rsid w:val="008E33E5"/>
    <w:rsid w:val="008E36F5"/>
    <w:rsid w:val="008E3B59"/>
    <w:rsid w:val="008E409A"/>
    <w:rsid w:val="008E4325"/>
    <w:rsid w:val="008E4327"/>
    <w:rsid w:val="008E4492"/>
    <w:rsid w:val="008E5729"/>
    <w:rsid w:val="008E5FFA"/>
    <w:rsid w:val="008E6690"/>
    <w:rsid w:val="008E6702"/>
    <w:rsid w:val="008E6A1D"/>
    <w:rsid w:val="008E6BA6"/>
    <w:rsid w:val="008E6F9B"/>
    <w:rsid w:val="008E73F7"/>
    <w:rsid w:val="008E764B"/>
    <w:rsid w:val="008E7710"/>
    <w:rsid w:val="008F00A6"/>
    <w:rsid w:val="008F03E5"/>
    <w:rsid w:val="008F0658"/>
    <w:rsid w:val="008F0975"/>
    <w:rsid w:val="008F0A44"/>
    <w:rsid w:val="008F0DF2"/>
    <w:rsid w:val="008F0E2A"/>
    <w:rsid w:val="008F1282"/>
    <w:rsid w:val="008F173B"/>
    <w:rsid w:val="008F2075"/>
    <w:rsid w:val="008F2221"/>
    <w:rsid w:val="008F2343"/>
    <w:rsid w:val="008F2473"/>
    <w:rsid w:val="008F25A7"/>
    <w:rsid w:val="008F2681"/>
    <w:rsid w:val="008F37B7"/>
    <w:rsid w:val="008F395C"/>
    <w:rsid w:val="008F3AD4"/>
    <w:rsid w:val="008F3D9F"/>
    <w:rsid w:val="008F4041"/>
    <w:rsid w:val="008F43F1"/>
    <w:rsid w:val="008F47CC"/>
    <w:rsid w:val="008F5169"/>
    <w:rsid w:val="008F5305"/>
    <w:rsid w:val="008F64C4"/>
    <w:rsid w:val="008F658F"/>
    <w:rsid w:val="008F72B8"/>
    <w:rsid w:val="008F7C0E"/>
    <w:rsid w:val="008F7C61"/>
    <w:rsid w:val="008F7F69"/>
    <w:rsid w:val="00900196"/>
    <w:rsid w:val="00900A9F"/>
    <w:rsid w:val="00900B13"/>
    <w:rsid w:val="0090116C"/>
    <w:rsid w:val="00902289"/>
    <w:rsid w:val="00902CE0"/>
    <w:rsid w:val="00902E82"/>
    <w:rsid w:val="00903391"/>
    <w:rsid w:val="00903864"/>
    <w:rsid w:val="00903B71"/>
    <w:rsid w:val="00903B9F"/>
    <w:rsid w:val="0090423F"/>
    <w:rsid w:val="00904682"/>
    <w:rsid w:val="0090475D"/>
    <w:rsid w:val="0090490B"/>
    <w:rsid w:val="0090550C"/>
    <w:rsid w:val="00905664"/>
    <w:rsid w:val="009058A9"/>
    <w:rsid w:val="009059E8"/>
    <w:rsid w:val="0090610F"/>
    <w:rsid w:val="009064F5"/>
    <w:rsid w:val="00907169"/>
    <w:rsid w:val="0090716A"/>
    <w:rsid w:val="00907176"/>
    <w:rsid w:val="00907514"/>
    <w:rsid w:val="00907729"/>
    <w:rsid w:val="0090779E"/>
    <w:rsid w:val="009077E3"/>
    <w:rsid w:val="00907D7F"/>
    <w:rsid w:val="009108B6"/>
    <w:rsid w:val="0091095D"/>
    <w:rsid w:val="00910B8E"/>
    <w:rsid w:val="0091120F"/>
    <w:rsid w:val="0091125C"/>
    <w:rsid w:val="00911AE5"/>
    <w:rsid w:val="00911C8C"/>
    <w:rsid w:val="00911E56"/>
    <w:rsid w:val="00913129"/>
    <w:rsid w:val="00914238"/>
    <w:rsid w:val="009160E3"/>
    <w:rsid w:val="009167AF"/>
    <w:rsid w:val="00916D1B"/>
    <w:rsid w:val="00917B47"/>
    <w:rsid w:val="00917C87"/>
    <w:rsid w:val="00917D4E"/>
    <w:rsid w:val="00920500"/>
    <w:rsid w:val="00920782"/>
    <w:rsid w:val="0092082E"/>
    <w:rsid w:val="00920B52"/>
    <w:rsid w:val="00920EEA"/>
    <w:rsid w:val="00920F3B"/>
    <w:rsid w:val="00921320"/>
    <w:rsid w:val="009220FE"/>
    <w:rsid w:val="009225AB"/>
    <w:rsid w:val="00922632"/>
    <w:rsid w:val="0092263A"/>
    <w:rsid w:val="00922E1A"/>
    <w:rsid w:val="0092300A"/>
    <w:rsid w:val="0092365B"/>
    <w:rsid w:val="0092367F"/>
    <w:rsid w:val="00923D01"/>
    <w:rsid w:val="00923F12"/>
    <w:rsid w:val="0092443D"/>
    <w:rsid w:val="009244EE"/>
    <w:rsid w:val="0092566B"/>
    <w:rsid w:val="00925E11"/>
    <w:rsid w:val="00926005"/>
    <w:rsid w:val="009261B4"/>
    <w:rsid w:val="009262FF"/>
    <w:rsid w:val="0092643D"/>
    <w:rsid w:val="00926753"/>
    <w:rsid w:val="00926C4A"/>
    <w:rsid w:val="00926F36"/>
    <w:rsid w:val="009272BE"/>
    <w:rsid w:val="009273D1"/>
    <w:rsid w:val="00927780"/>
    <w:rsid w:val="009278C8"/>
    <w:rsid w:val="009300AD"/>
    <w:rsid w:val="009300BA"/>
    <w:rsid w:val="0093097C"/>
    <w:rsid w:val="00930B40"/>
    <w:rsid w:val="00930DDB"/>
    <w:rsid w:val="00930F93"/>
    <w:rsid w:val="00930FEC"/>
    <w:rsid w:val="009315BA"/>
    <w:rsid w:val="00931D04"/>
    <w:rsid w:val="0093262E"/>
    <w:rsid w:val="009329B8"/>
    <w:rsid w:val="00932CD3"/>
    <w:rsid w:val="0093425A"/>
    <w:rsid w:val="00934453"/>
    <w:rsid w:val="009344B0"/>
    <w:rsid w:val="0093480A"/>
    <w:rsid w:val="00934C01"/>
    <w:rsid w:val="00935724"/>
    <w:rsid w:val="00935CEA"/>
    <w:rsid w:val="00935D56"/>
    <w:rsid w:val="00935EF7"/>
    <w:rsid w:val="00935F91"/>
    <w:rsid w:val="009364F3"/>
    <w:rsid w:val="009370E4"/>
    <w:rsid w:val="009378C3"/>
    <w:rsid w:val="00940429"/>
    <w:rsid w:val="009405F2"/>
    <w:rsid w:val="00940629"/>
    <w:rsid w:val="009407FC"/>
    <w:rsid w:val="009412D7"/>
    <w:rsid w:val="009415CA"/>
    <w:rsid w:val="00941978"/>
    <w:rsid w:val="00941992"/>
    <w:rsid w:val="00941E36"/>
    <w:rsid w:val="00942033"/>
    <w:rsid w:val="00942351"/>
    <w:rsid w:val="00942A77"/>
    <w:rsid w:val="00942B97"/>
    <w:rsid w:val="00942E66"/>
    <w:rsid w:val="00943408"/>
    <w:rsid w:val="009436AE"/>
    <w:rsid w:val="00943DC6"/>
    <w:rsid w:val="009449AB"/>
    <w:rsid w:val="009450B5"/>
    <w:rsid w:val="00945312"/>
    <w:rsid w:val="00945942"/>
    <w:rsid w:val="00945B9C"/>
    <w:rsid w:val="00945E59"/>
    <w:rsid w:val="00946372"/>
    <w:rsid w:val="009466EF"/>
    <w:rsid w:val="009469E2"/>
    <w:rsid w:val="00946A2A"/>
    <w:rsid w:val="00947C23"/>
    <w:rsid w:val="00950166"/>
    <w:rsid w:val="00950CC5"/>
    <w:rsid w:val="00950DCB"/>
    <w:rsid w:val="009512D4"/>
    <w:rsid w:val="009515CF"/>
    <w:rsid w:val="00951A59"/>
    <w:rsid w:val="00951DB7"/>
    <w:rsid w:val="00951E01"/>
    <w:rsid w:val="00951EF1"/>
    <w:rsid w:val="009529F9"/>
    <w:rsid w:val="00953919"/>
    <w:rsid w:val="00953E65"/>
    <w:rsid w:val="00953EE2"/>
    <w:rsid w:val="009543BF"/>
    <w:rsid w:val="009547D6"/>
    <w:rsid w:val="00955021"/>
    <w:rsid w:val="00955EAA"/>
    <w:rsid w:val="00956F1E"/>
    <w:rsid w:val="00957412"/>
    <w:rsid w:val="009574BA"/>
    <w:rsid w:val="00957522"/>
    <w:rsid w:val="00957692"/>
    <w:rsid w:val="00957CFB"/>
    <w:rsid w:val="0096090E"/>
    <w:rsid w:val="0096092E"/>
    <w:rsid w:val="00960A37"/>
    <w:rsid w:val="00960D74"/>
    <w:rsid w:val="00961451"/>
    <w:rsid w:val="00961DAB"/>
    <w:rsid w:val="0096289D"/>
    <w:rsid w:val="00962C38"/>
    <w:rsid w:val="00962FE2"/>
    <w:rsid w:val="00963710"/>
    <w:rsid w:val="00963DD2"/>
    <w:rsid w:val="00964023"/>
    <w:rsid w:val="009640BA"/>
    <w:rsid w:val="00964207"/>
    <w:rsid w:val="00964A47"/>
    <w:rsid w:val="00965845"/>
    <w:rsid w:val="00965DAC"/>
    <w:rsid w:val="00966649"/>
    <w:rsid w:val="00966992"/>
    <w:rsid w:val="00967A0F"/>
    <w:rsid w:val="00967F7D"/>
    <w:rsid w:val="00967FB7"/>
    <w:rsid w:val="00970488"/>
    <w:rsid w:val="00970B13"/>
    <w:rsid w:val="00970B6E"/>
    <w:rsid w:val="00970DFB"/>
    <w:rsid w:val="009716F7"/>
    <w:rsid w:val="009718BA"/>
    <w:rsid w:val="00971F84"/>
    <w:rsid w:val="009720FB"/>
    <w:rsid w:val="00972188"/>
    <w:rsid w:val="0097224C"/>
    <w:rsid w:val="009724F2"/>
    <w:rsid w:val="0097251D"/>
    <w:rsid w:val="0097315C"/>
    <w:rsid w:val="009737A6"/>
    <w:rsid w:val="009737AB"/>
    <w:rsid w:val="009740F5"/>
    <w:rsid w:val="009743B0"/>
    <w:rsid w:val="00974A16"/>
    <w:rsid w:val="00974DD3"/>
    <w:rsid w:val="0097537D"/>
    <w:rsid w:val="00976647"/>
    <w:rsid w:val="0097699A"/>
    <w:rsid w:val="00976DFB"/>
    <w:rsid w:val="009772B8"/>
    <w:rsid w:val="00977BE9"/>
    <w:rsid w:val="00977C4E"/>
    <w:rsid w:val="00977E4B"/>
    <w:rsid w:val="00977E5C"/>
    <w:rsid w:val="009800EF"/>
    <w:rsid w:val="00980B41"/>
    <w:rsid w:val="0098127F"/>
    <w:rsid w:val="009812CF"/>
    <w:rsid w:val="0098195E"/>
    <w:rsid w:val="00981AAD"/>
    <w:rsid w:val="00981B67"/>
    <w:rsid w:val="00981E01"/>
    <w:rsid w:val="0098218E"/>
    <w:rsid w:val="00982472"/>
    <w:rsid w:val="0098283E"/>
    <w:rsid w:val="00982B41"/>
    <w:rsid w:val="00982D3A"/>
    <w:rsid w:val="00983B35"/>
    <w:rsid w:val="00984B80"/>
    <w:rsid w:val="00984C57"/>
    <w:rsid w:val="00984D9C"/>
    <w:rsid w:val="00984F2F"/>
    <w:rsid w:val="00985D2B"/>
    <w:rsid w:val="00986E25"/>
    <w:rsid w:val="00987141"/>
    <w:rsid w:val="00987487"/>
    <w:rsid w:val="009875FC"/>
    <w:rsid w:val="00987EA0"/>
    <w:rsid w:val="00987F2F"/>
    <w:rsid w:val="009903D9"/>
    <w:rsid w:val="0099078D"/>
    <w:rsid w:val="00990872"/>
    <w:rsid w:val="00991265"/>
    <w:rsid w:val="009913E1"/>
    <w:rsid w:val="00991701"/>
    <w:rsid w:val="00991A03"/>
    <w:rsid w:val="00991AAC"/>
    <w:rsid w:val="00991D4D"/>
    <w:rsid w:val="00992310"/>
    <w:rsid w:val="009924EA"/>
    <w:rsid w:val="00992890"/>
    <w:rsid w:val="0099292D"/>
    <w:rsid w:val="00992B52"/>
    <w:rsid w:val="009932BF"/>
    <w:rsid w:val="0099335A"/>
    <w:rsid w:val="00993C6C"/>
    <w:rsid w:val="009941B8"/>
    <w:rsid w:val="00994471"/>
    <w:rsid w:val="00995B2E"/>
    <w:rsid w:val="00995BEE"/>
    <w:rsid w:val="00995CC6"/>
    <w:rsid w:val="00995DD9"/>
    <w:rsid w:val="00996631"/>
    <w:rsid w:val="00996BA3"/>
    <w:rsid w:val="00996EC8"/>
    <w:rsid w:val="00997360"/>
    <w:rsid w:val="009977B5"/>
    <w:rsid w:val="00997F63"/>
    <w:rsid w:val="00997F66"/>
    <w:rsid w:val="009A0041"/>
    <w:rsid w:val="009A060F"/>
    <w:rsid w:val="009A0E8E"/>
    <w:rsid w:val="009A0F66"/>
    <w:rsid w:val="009A1267"/>
    <w:rsid w:val="009A1572"/>
    <w:rsid w:val="009A1642"/>
    <w:rsid w:val="009A194D"/>
    <w:rsid w:val="009A2F28"/>
    <w:rsid w:val="009A34BE"/>
    <w:rsid w:val="009A3604"/>
    <w:rsid w:val="009A3645"/>
    <w:rsid w:val="009A43DD"/>
    <w:rsid w:val="009A4AFE"/>
    <w:rsid w:val="009A4B05"/>
    <w:rsid w:val="009A4D7F"/>
    <w:rsid w:val="009A51EE"/>
    <w:rsid w:val="009A5AA2"/>
    <w:rsid w:val="009A5E05"/>
    <w:rsid w:val="009A60CE"/>
    <w:rsid w:val="009A6515"/>
    <w:rsid w:val="009A6594"/>
    <w:rsid w:val="009A6A0D"/>
    <w:rsid w:val="009A77CC"/>
    <w:rsid w:val="009A7FEE"/>
    <w:rsid w:val="009B0074"/>
    <w:rsid w:val="009B043A"/>
    <w:rsid w:val="009B0930"/>
    <w:rsid w:val="009B1326"/>
    <w:rsid w:val="009B274D"/>
    <w:rsid w:val="009B2F45"/>
    <w:rsid w:val="009B3A81"/>
    <w:rsid w:val="009B4605"/>
    <w:rsid w:val="009B4C4F"/>
    <w:rsid w:val="009B564A"/>
    <w:rsid w:val="009B5C64"/>
    <w:rsid w:val="009B5F09"/>
    <w:rsid w:val="009B5F7C"/>
    <w:rsid w:val="009B61FA"/>
    <w:rsid w:val="009B6290"/>
    <w:rsid w:val="009B6469"/>
    <w:rsid w:val="009B6474"/>
    <w:rsid w:val="009B65F7"/>
    <w:rsid w:val="009B6AE9"/>
    <w:rsid w:val="009B70C6"/>
    <w:rsid w:val="009B7B81"/>
    <w:rsid w:val="009B7CA2"/>
    <w:rsid w:val="009B7F43"/>
    <w:rsid w:val="009B7F66"/>
    <w:rsid w:val="009C0163"/>
    <w:rsid w:val="009C05AF"/>
    <w:rsid w:val="009C0713"/>
    <w:rsid w:val="009C0A96"/>
    <w:rsid w:val="009C0CC3"/>
    <w:rsid w:val="009C0CDB"/>
    <w:rsid w:val="009C19F4"/>
    <w:rsid w:val="009C2B04"/>
    <w:rsid w:val="009C3178"/>
    <w:rsid w:val="009C3211"/>
    <w:rsid w:val="009C34EA"/>
    <w:rsid w:val="009C376C"/>
    <w:rsid w:val="009C3777"/>
    <w:rsid w:val="009C3B1B"/>
    <w:rsid w:val="009C3BDB"/>
    <w:rsid w:val="009C4165"/>
    <w:rsid w:val="009C4B1D"/>
    <w:rsid w:val="009C4B92"/>
    <w:rsid w:val="009C502F"/>
    <w:rsid w:val="009C5FAB"/>
    <w:rsid w:val="009C6045"/>
    <w:rsid w:val="009C636A"/>
    <w:rsid w:val="009C637A"/>
    <w:rsid w:val="009C7978"/>
    <w:rsid w:val="009C7A2F"/>
    <w:rsid w:val="009C7F27"/>
    <w:rsid w:val="009D0169"/>
    <w:rsid w:val="009D0225"/>
    <w:rsid w:val="009D08DA"/>
    <w:rsid w:val="009D1326"/>
    <w:rsid w:val="009D14D4"/>
    <w:rsid w:val="009D15B7"/>
    <w:rsid w:val="009D1FB8"/>
    <w:rsid w:val="009D287D"/>
    <w:rsid w:val="009D290D"/>
    <w:rsid w:val="009D2926"/>
    <w:rsid w:val="009D304C"/>
    <w:rsid w:val="009D3F8B"/>
    <w:rsid w:val="009D44F5"/>
    <w:rsid w:val="009D4B69"/>
    <w:rsid w:val="009D4E36"/>
    <w:rsid w:val="009D5983"/>
    <w:rsid w:val="009D61CB"/>
    <w:rsid w:val="009D63A5"/>
    <w:rsid w:val="009D67D6"/>
    <w:rsid w:val="009D6C34"/>
    <w:rsid w:val="009D750F"/>
    <w:rsid w:val="009D7B13"/>
    <w:rsid w:val="009D7C48"/>
    <w:rsid w:val="009D7F2F"/>
    <w:rsid w:val="009D7F32"/>
    <w:rsid w:val="009E0425"/>
    <w:rsid w:val="009E0735"/>
    <w:rsid w:val="009E0770"/>
    <w:rsid w:val="009E0A67"/>
    <w:rsid w:val="009E1921"/>
    <w:rsid w:val="009E1A92"/>
    <w:rsid w:val="009E1B69"/>
    <w:rsid w:val="009E1C4A"/>
    <w:rsid w:val="009E1D1B"/>
    <w:rsid w:val="009E206E"/>
    <w:rsid w:val="009E2685"/>
    <w:rsid w:val="009E2A15"/>
    <w:rsid w:val="009E2BD5"/>
    <w:rsid w:val="009E2C17"/>
    <w:rsid w:val="009E2EC4"/>
    <w:rsid w:val="009E3716"/>
    <w:rsid w:val="009E3CBE"/>
    <w:rsid w:val="009E3E6C"/>
    <w:rsid w:val="009E4077"/>
    <w:rsid w:val="009E40F5"/>
    <w:rsid w:val="009E40F8"/>
    <w:rsid w:val="009E41AF"/>
    <w:rsid w:val="009E461A"/>
    <w:rsid w:val="009E4CE6"/>
    <w:rsid w:val="009E4E29"/>
    <w:rsid w:val="009E5192"/>
    <w:rsid w:val="009E5BE3"/>
    <w:rsid w:val="009E5F06"/>
    <w:rsid w:val="009E6B14"/>
    <w:rsid w:val="009E6C77"/>
    <w:rsid w:val="009E7382"/>
    <w:rsid w:val="009E7508"/>
    <w:rsid w:val="009E7571"/>
    <w:rsid w:val="009E75EA"/>
    <w:rsid w:val="009E7AAA"/>
    <w:rsid w:val="009E7C6D"/>
    <w:rsid w:val="009F0023"/>
    <w:rsid w:val="009F00D4"/>
    <w:rsid w:val="009F0821"/>
    <w:rsid w:val="009F0E6C"/>
    <w:rsid w:val="009F0FF6"/>
    <w:rsid w:val="009F113E"/>
    <w:rsid w:val="009F17AB"/>
    <w:rsid w:val="009F1CA3"/>
    <w:rsid w:val="009F2F20"/>
    <w:rsid w:val="009F30D7"/>
    <w:rsid w:val="009F3198"/>
    <w:rsid w:val="009F3AA5"/>
    <w:rsid w:val="009F3AEB"/>
    <w:rsid w:val="009F3C4E"/>
    <w:rsid w:val="009F3F2F"/>
    <w:rsid w:val="009F4785"/>
    <w:rsid w:val="009F487A"/>
    <w:rsid w:val="009F507D"/>
    <w:rsid w:val="009F54DF"/>
    <w:rsid w:val="009F568A"/>
    <w:rsid w:val="009F69CD"/>
    <w:rsid w:val="009F6DB7"/>
    <w:rsid w:val="009F6F30"/>
    <w:rsid w:val="009F75E8"/>
    <w:rsid w:val="009F7D1C"/>
    <w:rsid w:val="009F7D7B"/>
    <w:rsid w:val="009F7D91"/>
    <w:rsid w:val="009F7E5F"/>
    <w:rsid w:val="00A00002"/>
    <w:rsid w:val="00A003A0"/>
    <w:rsid w:val="00A00642"/>
    <w:rsid w:val="00A00E39"/>
    <w:rsid w:val="00A01275"/>
    <w:rsid w:val="00A01588"/>
    <w:rsid w:val="00A01896"/>
    <w:rsid w:val="00A01B82"/>
    <w:rsid w:val="00A01E11"/>
    <w:rsid w:val="00A027E4"/>
    <w:rsid w:val="00A02B8D"/>
    <w:rsid w:val="00A02CBE"/>
    <w:rsid w:val="00A03065"/>
    <w:rsid w:val="00A0306C"/>
    <w:rsid w:val="00A03151"/>
    <w:rsid w:val="00A03479"/>
    <w:rsid w:val="00A03DA8"/>
    <w:rsid w:val="00A03F56"/>
    <w:rsid w:val="00A041EF"/>
    <w:rsid w:val="00A04E96"/>
    <w:rsid w:val="00A05338"/>
    <w:rsid w:val="00A055CD"/>
    <w:rsid w:val="00A05623"/>
    <w:rsid w:val="00A05747"/>
    <w:rsid w:val="00A06549"/>
    <w:rsid w:val="00A06C54"/>
    <w:rsid w:val="00A07368"/>
    <w:rsid w:val="00A079FD"/>
    <w:rsid w:val="00A100A2"/>
    <w:rsid w:val="00A1067B"/>
    <w:rsid w:val="00A109C8"/>
    <w:rsid w:val="00A10AC8"/>
    <w:rsid w:val="00A10B8A"/>
    <w:rsid w:val="00A10BF9"/>
    <w:rsid w:val="00A115D4"/>
    <w:rsid w:val="00A11C83"/>
    <w:rsid w:val="00A120A4"/>
    <w:rsid w:val="00A125AF"/>
    <w:rsid w:val="00A1262F"/>
    <w:rsid w:val="00A12A2D"/>
    <w:rsid w:val="00A12E8F"/>
    <w:rsid w:val="00A130A5"/>
    <w:rsid w:val="00A13308"/>
    <w:rsid w:val="00A13779"/>
    <w:rsid w:val="00A137C4"/>
    <w:rsid w:val="00A15611"/>
    <w:rsid w:val="00A159A6"/>
    <w:rsid w:val="00A159B9"/>
    <w:rsid w:val="00A15AE1"/>
    <w:rsid w:val="00A15D98"/>
    <w:rsid w:val="00A16588"/>
    <w:rsid w:val="00A1683F"/>
    <w:rsid w:val="00A16862"/>
    <w:rsid w:val="00A16D0A"/>
    <w:rsid w:val="00A172F0"/>
    <w:rsid w:val="00A1799A"/>
    <w:rsid w:val="00A17B6C"/>
    <w:rsid w:val="00A17F91"/>
    <w:rsid w:val="00A2038F"/>
    <w:rsid w:val="00A20B0C"/>
    <w:rsid w:val="00A21100"/>
    <w:rsid w:val="00A221FA"/>
    <w:rsid w:val="00A22521"/>
    <w:rsid w:val="00A232AE"/>
    <w:rsid w:val="00A2350B"/>
    <w:rsid w:val="00A23AAB"/>
    <w:rsid w:val="00A23D71"/>
    <w:rsid w:val="00A24445"/>
    <w:rsid w:val="00A2444A"/>
    <w:rsid w:val="00A24667"/>
    <w:rsid w:val="00A24B63"/>
    <w:rsid w:val="00A24CD2"/>
    <w:rsid w:val="00A24FE1"/>
    <w:rsid w:val="00A25303"/>
    <w:rsid w:val="00A25567"/>
    <w:rsid w:val="00A2582E"/>
    <w:rsid w:val="00A25BBD"/>
    <w:rsid w:val="00A25EBF"/>
    <w:rsid w:val="00A26246"/>
    <w:rsid w:val="00A26707"/>
    <w:rsid w:val="00A27205"/>
    <w:rsid w:val="00A27844"/>
    <w:rsid w:val="00A27971"/>
    <w:rsid w:val="00A27C6C"/>
    <w:rsid w:val="00A27E17"/>
    <w:rsid w:val="00A30011"/>
    <w:rsid w:val="00A306CF"/>
    <w:rsid w:val="00A30772"/>
    <w:rsid w:val="00A30C8F"/>
    <w:rsid w:val="00A30E6A"/>
    <w:rsid w:val="00A30EDD"/>
    <w:rsid w:val="00A31074"/>
    <w:rsid w:val="00A310D2"/>
    <w:rsid w:val="00A314CA"/>
    <w:rsid w:val="00A31806"/>
    <w:rsid w:val="00A31813"/>
    <w:rsid w:val="00A3185E"/>
    <w:rsid w:val="00A31BFA"/>
    <w:rsid w:val="00A31DCE"/>
    <w:rsid w:val="00A32143"/>
    <w:rsid w:val="00A32595"/>
    <w:rsid w:val="00A3277D"/>
    <w:rsid w:val="00A32DA6"/>
    <w:rsid w:val="00A3477B"/>
    <w:rsid w:val="00A347DD"/>
    <w:rsid w:val="00A3493B"/>
    <w:rsid w:val="00A34BAC"/>
    <w:rsid w:val="00A34F96"/>
    <w:rsid w:val="00A35143"/>
    <w:rsid w:val="00A3571A"/>
    <w:rsid w:val="00A35E48"/>
    <w:rsid w:val="00A36805"/>
    <w:rsid w:val="00A368F0"/>
    <w:rsid w:val="00A36ABB"/>
    <w:rsid w:val="00A40368"/>
    <w:rsid w:val="00A403F8"/>
    <w:rsid w:val="00A40FE9"/>
    <w:rsid w:val="00A415AE"/>
    <w:rsid w:val="00A4162A"/>
    <w:rsid w:val="00A41D1B"/>
    <w:rsid w:val="00A422E0"/>
    <w:rsid w:val="00A426B5"/>
    <w:rsid w:val="00A428F8"/>
    <w:rsid w:val="00A42DBD"/>
    <w:rsid w:val="00A42F9D"/>
    <w:rsid w:val="00A4311F"/>
    <w:rsid w:val="00A43294"/>
    <w:rsid w:val="00A432B5"/>
    <w:rsid w:val="00A438B5"/>
    <w:rsid w:val="00A44C25"/>
    <w:rsid w:val="00A4506B"/>
    <w:rsid w:val="00A45119"/>
    <w:rsid w:val="00A45151"/>
    <w:rsid w:val="00A4550B"/>
    <w:rsid w:val="00A457D3"/>
    <w:rsid w:val="00A45885"/>
    <w:rsid w:val="00A45893"/>
    <w:rsid w:val="00A45ABD"/>
    <w:rsid w:val="00A45CD2"/>
    <w:rsid w:val="00A45E6C"/>
    <w:rsid w:val="00A460B6"/>
    <w:rsid w:val="00A46374"/>
    <w:rsid w:val="00A467F7"/>
    <w:rsid w:val="00A4685F"/>
    <w:rsid w:val="00A46BC4"/>
    <w:rsid w:val="00A46E0B"/>
    <w:rsid w:val="00A46E97"/>
    <w:rsid w:val="00A47319"/>
    <w:rsid w:val="00A47582"/>
    <w:rsid w:val="00A475C3"/>
    <w:rsid w:val="00A47BB2"/>
    <w:rsid w:val="00A47D4D"/>
    <w:rsid w:val="00A47EE3"/>
    <w:rsid w:val="00A501C6"/>
    <w:rsid w:val="00A50565"/>
    <w:rsid w:val="00A51268"/>
    <w:rsid w:val="00A5182F"/>
    <w:rsid w:val="00A52024"/>
    <w:rsid w:val="00A5236F"/>
    <w:rsid w:val="00A52AE7"/>
    <w:rsid w:val="00A53733"/>
    <w:rsid w:val="00A537D8"/>
    <w:rsid w:val="00A541EA"/>
    <w:rsid w:val="00A54BA3"/>
    <w:rsid w:val="00A55697"/>
    <w:rsid w:val="00A56526"/>
    <w:rsid w:val="00A56E91"/>
    <w:rsid w:val="00A57027"/>
    <w:rsid w:val="00A5798C"/>
    <w:rsid w:val="00A57A94"/>
    <w:rsid w:val="00A600CF"/>
    <w:rsid w:val="00A6079C"/>
    <w:rsid w:val="00A60A48"/>
    <w:rsid w:val="00A60B36"/>
    <w:rsid w:val="00A60BAD"/>
    <w:rsid w:val="00A61EE5"/>
    <w:rsid w:val="00A622E4"/>
    <w:rsid w:val="00A62787"/>
    <w:rsid w:val="00A62AA8"/>
    <w:rsid w:val="00A62C6D"/>
    <w:rsid w:val="00A644F2"/>
    <w:rsid w:val="00A64E18"/>
    <w:rsid w:val="00A64E46"/>
    <w:rsid w:val="00A657F3"/>
    <w:rsid w:val="00A65E33"/>
    <w:rsid w:val="00A67361"/>
    <w:rsid w:val="00A67951"/>
    <w:rsid w:val="00A67D27"/>
    <w:rsid w:val="00A70058"/>
    <w:rsid w:val="00A704E8"/>
    <w:rsid w:val="00A70714"/>
    <w:rsid w:val="00A70D83"/>
    <w:rsid w:val="00A7101D"/>
    <w:rsid w:val="00A71667"/>
    <w:rsid w:val="00A718CD"/>
    <w:rsid w:val="00A71D8D"/>
    <w:rsid w:val="00A71EF2"/>
    <w:rsid w:val="00A71F9F"/>
    <w:rsid w:val="00A71FA1"/>
    <w:rsid w:val="00A7244E"/>
    <w:rsid w:val="00A72594"/>
    <w:rsid w:val="00A72C17"/>
    <w:rsid w:val="00A733F2"/>
    <w:rsid w:val="00A737A3"/>
    <w:rsid w:val="00A73AB8"/>
    <w:rsid w:val="00A73D9B"/>
    <w:rsid w:val="00A73E0B"/>
    <w:rsid w:val="00A74AE9"/>
    <w:rsid w:val="00A74DE2"/>
    <w:rsid w:val="00A75071"/>
    <w:rsid w:val="00A759B5"/>
    <w:rsid w:val="00A75B8A"/>
    <w:rsid w:val="00A760D6"/>
    <w:rsid w:val="00A761D9"/>
    <w:rsid w:val="00A76613"/>
    <w:rsid w:val="00A76E76"/>
    <w:rsid w:val="00A77555"/>
    <w:rsid w:val="00A7755D"/>
    <w:rsid w:val="00A776B1"/>
    <w:rsid w:val="00A77A01"/>
    <w:rsid w:val="00A77BAD"/>
    <w:rsid w:val="00A77DAF"/>
    <w:rsid w:val="00A809B4"/>
    <w:rsid w:val="00A80AAE"/>
    <w:rsid w:val="00A80BC9"/>
    <w:rsid w:val="00A80D3C"/>
    <w:rsid w:val="00A80D75"/>
    <w:rsid w:val="00A80D8D"/>
    <w:rsid w:val="00A80FC1"/>
    <w:rsid w:val="00A815E5"/>
    <w:rsid w:val="00A81B95"/>
    <w:rsid w:val="00A81FD5"/>
    <w:rsid w:val="00A82025"/>
    <w:rsid w:val="00A82500"/>
    <w:rsid w:val="00A82B55"/>
    <w:rsid w:val="00A82DB1"/>
    <w:rsid w:val="00A82E07"/>
    <w:rsid w:val="00A82EF5"/>
    <w:rsid w:val="00A83341"/>
    <w:rsid w:val="00A837D5"/>
    <w:rsid w:val="00A837DA"/>
    <w:rsid w:val="00A8403B"/>
    <w:rsid w:val="00A847AE"/>
    <w:rsid w:val="00A84C5E"/>
    <w:rsid w:val="00A8507D"/>
    <w:rsid w:val="00A853CF"/>
    <w:rsid w:val="00A854CB"/>
    <w:rsid w:val="00A856E1"/>
    <w:rsid w:val="00A85B19"/>
    <w:rsid w:val="00A85C77"/>
    <w:rsid w:val="00A85D9B"/>
    <w:rsid w:val="00A86D47"/>
    <w:rsid w:val="00A8764C"/>
    <w:rsid w:val="00A901A4"/>
    <w:rsid w:val="00A904F1"/>
    <w:rsid w:val="00A9079D"/>
    <w:rsid w:val="00A90CF6"/>
    <w:rsid w:val="00A90DA7"/>
    <w:rsid w:val="00A91341"/>
    <w:rsid w:val="00A91639"/>
    <w:rsid w:val="00A91A0D"/>
    <w:rsid w:val="00A91C5E"/>
    <w:rsid w:val="00A91CDA"/>
    <w:rsid w:val="00A929D3"/>
    <w:rsid w:val="00A92EDF"/>
    <w:rsid w:val="00A9317E"/>
    <w:rsid w:val="00A93356"/>
    <w:rsid w:val="00A9376B"/>
    <w:rsid w:val="00A937F1"/>
    <w:rsid w:val="00A93D34"/>
    <w:rsid w:val="00A93EA7"/>
    <w:rsid w:val="00A93EDF"/>
    <w:rsid w:val="00A9422F"/>
    <w:rsid w:val="00A9559C"/>
    <w:rsid w:val="00A95706"/>
    <w:rsid w:val="00A957D6"/>
    <w:rsid w:val="00A96012"/>
    <w:rsid w:val="00A963EA"/>
    <w:rsid w:val="00A96439"/>
    <w:rsid w:val="00A9672A"/>
    <w:rsid w:val="00A96928"/>
    <w:rsid w:val="00A96BCD"/>
    <w:rsid w:val="00A9779B"/>
    <w:rsid w:val="00A97948"/>
    <w:rsid w:val="00AA0B93"/>
    <w:rsid w:val="00AA0FB8"/>
    <w:rsid w:val="00AA21FD"/>
    <w:rsid w:val="00AA324B"/>
    <w:rsid w:val="00AA3457"/>
    <w:rsid w:val="00AA3FD7"/>
    <w:rsid w:val="00AA42A7"/>
    <w:rsid w:val="00AA45A4"/>
    <w:rsid w:val="00AA4692"/>
    <w:rsid w:val="00AA48D0"/>
    <w:rsid w:val="00AA4E97"/>
    <w:rsid w:val="00AA52B4"/>
    <w:rsid w:val="00AA554C"/>
    <w:rsid w:val="00AA599C"/>
    <w:rsid w:val="00AA62F9"/>
    <w:rsid w:val="00AA6301"/>
    <w:rsid w:val="00AA636B"/>
    <w:rsid w:val="00AA6519"/>
    <w:rsid w:val="00AA6F6A"/>
    <w:rsid w:val="00AA7CBB"/>
    <w:rsid w:val="00AA7E22"/>
    <w:rsid w:val="00AB00AB"/>
    <w:rsid w:val="00AB037B"/>
    <w:rsid w:val="00AB055E"/>
    <w:rsid w:val="00AB0969"/>
    <w:rsid w:val="00AB0EC4"/>
    <w:rsid w:val="00AB0F2E"/>
    <w:rsid w:val="00AB11F9"/>
    <w:rsid w:val="00AB16E3"/>
    <w:rsid w:val="00AB1C0E"/>
    <w:rsid w:val="00AB1D87"/>
    <w:rsid w:val="00AB2028"/>
    <w:rsid w:val="00AB25BA"/>
    <w:rsid w:val="00AB2690"/>
    <w:rsid w:val="00AB2CC0"/>
    <w:rsid w:val="00AB2D23"/>
    <w:rsid w:val="00AB38FE"/>
    <w:rsid w:val="00AB3E0C"/>
    <w:rsid w:val="00AB402E"/>
    <w:rsid w:val="00AB45D7"/>
    <w:rsid w:val="00AB46E3"/>
    <w:rsid w:val="00AB492C"/>
    <w:rsid w:val="00AB4949"/>
    <w:rsid w:val="00AB4C08"/>
    <w:rsid w:val="00AB5460"/>
    <w:rsid w:val="00AB594C"/>
    <w:rsid w:val="00AB5F29"/>
    <w:rsid w:val="00AB5F9D"/>
    <w:rsid w:val="00AB630F"/>
    <w:rsid w:val="00AB6894"/>
    <w:rsid w:val="00AB6F7E"/>
    <w:rsid w:val="00AB74B6"/>
    <w:rsid w:val="00AB7550"/>
    <w:rsid w:val="00AC0EBA"/>
    <w:rsid w:val="00AC0F0B"/>
    <w:rsid w:val="00AC16DD"/>
    <w:rsid w:val="00AC1B70"/>
    <w:rsid w:val="00AC1D4F"/>
    <w:rsid w:val="00AC225F"/>
    <w:rsid w:val="00AC23B5"/>
    <w:rsid w:val="00AC2D13"/>
    <w:rsid w:val="00AC2D5A"/>
    <w:rsid w:val="00AC3F26"/>
    <w:rsid w:val="00AC4039"/>
    <w:rsid w:val="00AC428E"/>
    <w:rsid w:val="00AC4462"/>
    <w:rsid w:val="00AC5B15"/>
    <w:rsid w:val="00AC6258"/>
    <w:rsid w:val="00AC6622"/>
    <w:rsid w:val="00AC6EB3"/>
    <w:rsid w:val="00AC71EE"/>
    <w:rsid w:val="00AC77D1"/>
    <w:rsid w:val="00AC77DA"/>
    <w:rsid w:val="00AC7946"/>
    <w:rsid w:val="00AC7E22"/>
    <w:rsid w:val="00AD0862"/>
    <w:rsid w:val="00AD0F65"/>
    <w:rsid w:val="00AD101D"/>
    <w:rsid w:val="00AD1144"/>
    <w:rsid w:val="00AD135E"/>
    <w:rsid w:val="00AD1529"/>
    <w:rsid w:val="00AD21A3"/>
    <w:rsid w:val="00AD299B"/>
    <w:rsid w:val="00AD2B64"/>
    <w:rsid w:val="00AD33DC"/>
    <w:rsid w:val="00AD390C"/>
    <w:rsid w:val="00AD540E"/>
    <w:rsid w:val="00AD5DC7"/>
    <w:rsid w:val="00AD67A0"/>
    <w:rsid w:val="00AD692C"/>
    <w:rsid w:val="00AD6971"/>
    <w:rsid w:val="00AD6A33"/>
    <w:rsid w:val="00AD73FA"/>
    <w:rsid w:val="00AD7437"/>
    <w:rsid w:val="00AD74DC"/>
    <w:rsid w:val="00AE04B8"/>
    <w:rsid w:val="00AE0B35"/>
    <w:rsid w:val="00AE17D3"/>
    <w:rsid w:val="00AE1E13"/>
    <w:rsid w:val="00AE25BF"/>
    <w:rsid w:val="00AE25F6"/>
    <w:rsid w:val="00AE2624"/>
    <w:rsid w:val="00AE293B"/>
    <w:rsid w:val="00AE3086"/>
    <w:rsid w:val="00AE31AB"/>
    <w:rsid w:val="00AE32B2"/>
    <w:rsid w:val="00AE3983"/>
    <w:rsid w:val="00AE39D5"/>
    <w:rsid w:val="00AE3AE3"/>
    <w:rsid w:val="00AE448B"/>
    <w:rsid w:val="00AE56B2"/>
    <w:rsid w:val="00AE5C69"/>
    <w:rsid w:val="00AE73A0"/>
    <w:rsid w:val="00AE7D84"/>
    <w:rsid w:val="00AF01E9"/>
    <w:rsid w:val="00AF0405"/>
    <w:rsid w:val="00AF0CF0"/>
    <w:rsid w:val="00AF1660"/>
    <w:rsid w:val="00AF1DBD"/>
    <w:rsid w:val="00AF2904"/>
    <w:rsid w:val="00AF2A4A"/>
    <w:rsid w:val="00AF2D08"/>
    <w:rsid w:val="00AF3468"/>
    <w:rsid w:val="00AF40A4"/>
    <w:rsid w:val="00AF4938"/>
    <w:rsid w:val="00AF50B4"/>
    <w:rsid w:val="00AF529E"/>
    <w:rsid w:val="00AF5A33"/>
    <w:rsid w:val="00AF5CC1"/>
    <w:rsid w:val="00AF5D7E"/>
    <w:rsid w:val="00AF6284"/>
    <w:rsid w:val="00AF6A1D"/>
    <w:rsid w:val="00AF6F70"/>
    <w:rsid w:val="00AF7605"/>
    <w:rsid w:val="00AF7CEA"/>
    <w:rsid w:val="00B00589"/>
    <w:rsid w:val="00B00F92"/>
    <w:rsid w:val="00B01757"/>
    <w:rsid w:val="00B0249D"/>
    <w:rsid w:val="00B0297E"/>
    <w:rsid w:val="00B03535"/>
    <w:rsid w:val="00B03839"/>
    <w:rsid w:val="00B03AA9"/>
    <w:rsid w:val="00B03C14"/>
    <w:rsid w:val="00B03C5B"/>
    <w:rsid w:val="00B04236"/>
    <w:rsid w:val="00B04B3C"/>
    <w:rsid w:val="00B04FDC"/>
    <w:rsid w:val="00B05588"/>
    <w:rsid w:val="00B055CB"/>
    <w:rsid w:val="00B05A22"/>
    <w:rsid w:val="00B05A95"/>
    <w:rsid w:val="00B066D8"/>
    <w:rsid w:val="00B0699B"/>
    <w:rsid w:val="00B06AD3"/>
    <w:rsid w:val="00B0720B"/>
    <w:rsid w:val="00B0722A"/>
    <w:rsid w:val="00B07388"/>
    <w:rsid w:val="00B0787B"/>
    <w:rsid w:val="00B1011A"/>
    <w:rsid w:val="00B10380"/>
    <w:rsid w:val="00B11179"/>
    <w:rsid w:val="00B112BF"/>
    <w:rsid w:val="00B11BFA"/>
    <w:rsid w:val="00B11FAF"/>
    <w:rsid w:val="00B11FF4"/>
    <w:rsid w:val="00B120CD"/>
    <w:rsid w:val="00B1258D"/>
    <w:rsid w:val="00B12B3A"/>
    <w:rsid w:val="00B12BBC"/>
    <w:rsid w:val="00B12C61"/>
    <w:rsid w:val="00B134DC"/>
    <w:rsid w:val="00B13956"/>
    <w:rsid w:val="00B13C10"/>
    <w:rsid w:val="00B13F75"/>
    <w:rsid w:val="00B1456D"/>
    <w:rsid w:val="00B14C65"/>
    <w:rsid w:val="00B155D0"/>
    <w:rsid w:val="00B1576F"/>
    <w:rsid w:val="00B15E04"/>
    <w:rsid w:val="00B15F92"/>
    <w:rsid w:val="00B15FC8"/>
    <w:rsid w:val="00B1648A"/>
    <w:rsid w:val="00B164BC"/>
    <w:rsid w:val="00B16617"/>
    <w:rsid w:val="00B16680"/>
    <w:rsid w:val="00B16AA9"/>
    <w:rsid w:val="00B16DF8"/>
    <w:rsid w:val="00B17350"/>
    <w:rsid w:val="00B176FD"/>
    <w:rsid w:val="00B17A36"/>
    <w:rsid w:val="00B17A59"/>
    <w:rsid w:val="00B17EFA"/>
    <w:rsid w:val="00B20908"/>
    <w:rsid w:val="00B20A45"/>
    <w:rsid w:val="00B20E4D"/>
    <w:rsid w:val="00B211FF"/>
    <w:rsid w:val="00B21F88"/>
    <w:rsid w:val="00B22DDD"/>
    <w:rsid w:val="00B23347"/>
    <w:rsid w:val="00B234B0"/>
    <w:rsid w:val="00B2392E"/>
    <w:rsid w:val="00B24128"/>
    <w:rsid w:val="00B24618"/>
    <w:rsid w:val="00B25838"/>
    <w:rsid w:val="00B25E86"/>
    <w:rsid w:val="00B25FCD"/>
    <w:rsid w:val="00B2735D"/>
    <w:rsid w:val="00B27677"/>
    <w:rsid w:val="00B30059"/>
    <w:rsid w:val="00B3013C"/>
    <w:rsid w:val="00B302A0"/>
    <w:rsid w:val="00B30691"/>
    <w:rsid w:val="00B30F37"/>
    <w:rsid w:val="00B3154B"/>
    <w:rsid w:val="00B31B20"/>
    <w:rsid w:val="00B32452"/>
    <w:rsid w:val="00B324AA"/>
    <w:rsid w:val="00B333C5"/>
    <w:rsid w:val="00B333EC"/>
    <w:rsid w:val="00B335AC"/>
    <w:rsid w:val="00B3380D"/>
    <w:rsid w:val="00B33913"/>
    <w:rsid w:val="00B339E3"/>
    <w:rsid w:val="00B347AC"/>
    <w:rsid w:val="00B349C4"/>
    <w:rsid w:val="00B34FAB"/>
    <w:rsid w:val="00B35FDE"/>
    <w:rsid w:val="00B3603F"/>
    <w:rsid w:val="00B3606E"/>
    <w:rsid w:val="00B36123"/>
    <w:rsid w:val="00B36986"/>
    <w:rsid w:val="00B36CBB"/>
    <w:rsid w:val="00B3764E"/>
    <w:rsid w:val="00B37965"/>
    <w:rsid w:val="00B404F1"/>
    <w:rsid w:val="00B40672"/>
    <w:rsid w:val="00B40BAD"/>
    <w:rsid w:val="00B410B1"/>
    <w:rsid w:val="00B41AC6"/>
    <w:rsid w:val="00B41DD2"/>
    <w:rsid w:val="00B421F7"/>
    <w:rsid w:val="00B42368"/>
    <w:rsid w:val="00B424D5"/>
    <w:rsid w:val="00B42518"/>
    <w:rsid w:val="00B429DD"/>
    <w:rsid w:val="00B42D7D"/>
    <w:rsid w:val="00B42F55"/>
    <w:rsid w:val="00B43C10"/>
    <w:rsid w:val="00B43E77"/>
    <w:rsid w:val="00B446F6"/>
    <w:rsid w:val="00B44984"/>
    <w:rsid w:val="00B44B18"/>
    <w:rsid w:val="00B44DA6"/>
    <w:rsid w:val="00B456F4"/>
    <w:rsid w:val="00B45711"/>
    <w:rsid w:val="00B45E50"/>
    <w:rsid w:val="00B4793E"/>
    <w:rsid w:val="00B47BF5"/>
    <w:rsid w:val="00B47C27"/>
    <w:rsid w:val="00B5046D"/>
    <w:rsid w:val="00B504F4"/>
    <w:rsid w:val="00B506C7"/>
    <w:rsid w:val="00B50782"/>
    <w:rsid w:val="00B511A4"/>
    <w:rsid w:val="00B51851"/>
    <w:rsid w:val="00B51E44"/>
    <w:rsid w:val="00B52057"/>
    <w:rsid w:val="00B52066"/>
    <w:rsid w:val="00B521AF"/>
    <w:rsid w:val="00B526BA"/>
    <w:rsid w:val="00B52841"/>
    <w:rsid w:val="00B52A59"/>
    <w:rsid w:val="00B52BE2"/>
    <w:rsid w:val="00B52C7E"/>
    <w:rsid w:val="00B52D10"/>
    <w:rsid w:val="00B53146"/>
    <w:rsid w:val="00B537C7"/>
    <w:rsid w:val="00B53A8D"/>
    <w:rsid w:val="00B5433F"/>
    <w:rsid w:val="00B5484F"/>
    <w:rsid w:val="00B54B31"/>
    <w:rsid w:val="00B5531B"/>
    <w:rsid w:val="00B5553E"/>
    <w:rsid w:val="00B55A49"/>
    <w:rsid w:val="00B55D9D"/>
    <w:rsid w:val="00B5673B"/>
    <w:rsid w:val="00B56A66"/>
    <w:rsid w:val="00B57659"/>
    <w:rsid w:val="00B57965"/>
    <w:rsid w:val="00B57E8E"/>
    <w:rsid w:val="00B6088A"/>
    <w:rsid w:val="00B61574"/>
    <w:rsid w:val="00B617E1"/>
    <w:rsid w:val="00B61A66"/>
    <w:rsid w:val="00B62289"/>
    <w:rsid w:val="00B6296D"/>
    <w:rsid w:val="00B62EA6"/>
    <w:rsid w:val="00B62ED7"/>
    <w:rsid w:val="00B64127"/>
    <w:rsid w:val="00B64430"/>
    <w:rsid w:val="00B64A92"/>
    <w:rsid w:val="00B64EB3"/>
    <w:rsid w:val="00B64F6F"/>
    <w:rsid w:val="00B65061"/>
    <w:rsid w:val="00B65F12"/>
    <w:rsid w:val="00B661EB"/>
    <w:rsid w:val="00B665DC"/>
    <w:rsid w:val="00B66607"/>
    <w:rsid w:val="00B667D0"/>
    <w:rsid w:val="00B667E8"/>
    <w:rsid w:val="00B66BF7"/>
    <w:rsid w:val="00B6768F"/>
    <w:rsid w:val="00B676C3"/>
    <w:rsid w:val="00B678B1"/>
    <w:rsid w:val="00B67BBF"/>
    <w:rsid w:val="00B67F0F"/>
    <w:rsid w:val="00B67F5C"/>
    <w:rsid w:val="00B67F95"/>
    <w:rsid w:val="00B7012D"/>
    <w:rsid w:val="00B70406"/>
    <w:rsid w:val="00B707A2"/>
    <w:rsid w:val="00B70EC9"/>
    <w:rsid w:val="00B7115A"/>
    <w:rsid w:val="00B712F4"/>
    <w:rsid w:val="00B721B5"/>
    <w:rsid w:val="00B72226"/>
    <w:rsid w:val="00B72DDB"/>
    <w:rsid w:val="00B7316A"/>
    <w:rsid w:val="00B737C4"/>
    <w:rsid w:val="00B73BD8"/>
    <w:rsid w:val="00B74D65"/>
    <w:rsid w:val="00B74F81"/>
    <w:rsid w:val="00B74F9B"/>
    <w:rsid w:val="00B74FBD"/>
    <w:rsid w:val="00B75A99"/>
    <w:rsid w:val="00B75D85"/>
    <w:rsid w:val="00B760D3"/>
    <w:rsid w:val="00B76690"/>
    <w:rsid w:val="00B766AE"/>
    <w:rsid w:val="00B76AAD"/>
    <w:rsid w:val="00B76FFA"/>
    <w:rsid w:val="00B771B6"/>
    <w:rsid w:val="00B77261"/>
    <w:rsid w:val="00B77328"/>
    <w:rsid w:val="00B77385"/>
    <w:rsid w:val="00B80162"/>
    <w:rsid w:val="00B805AD"/>
    <w:rsid w:val="00B80885"/>
    <w:rsid w:val="00B80ACF"/>
    <w:rsid w:val="00B80B6F"/>
    <w:rsid w:val="00B80D54"/>
    <w:rsid w:val="00B80DAF"/>
    <w:rsid w:val="00B81B1C"/>
    <w:rsid w:val="00B8236F"/>
    <w:rsid w:val="00B824B3"/>
    <w:rsid w:val="00B825AF"/>
    <w:rsid w:val="00B82B5C"/>
    <w:rsid w:val="00B83089"/>
    <w:rsid w:val="00B8385B"/>
    <w:rsid w:val="00B83A2E"/>
    <w:rsid w:val="00B83DB2"/>
    <w:rsid w:val="00B84231"/>
    <w:rsid w:val="00B84321"/>
    <w:rsid w:val="00B843E3"/>
    <w:rsid w:val="00B84403"/>
    <w:rsid w:val="00B848D4"/>
    <w:rsid w:val="00B84BE1"/>
    <w:rsid w:val="00B84CEB"/>
    <w:rsid w:val="00B85E3E"/>
    <w:rsid w:val="00B86FE7"/>
    <w:rsid w:val="00B876F1"/>
    <w:rsid w:val="00B879C1"/>
    <w:rsid w:val="00B9060A"/>
    <w:rsid w:val="00B906DF"/>
    <w:rsid w:val="00B9070A"/>
    <w:rsid w:val="00B91562"/>
    <w:rsid w:val="00B91D22"/>
    <w:rsid w:val="00B920EC"/>
    <w:rsid w:val="00B9226F"/>
    <w:rsid w:val="00B92DCD"/>
    <w:rsid w:val="00B94109"/>
    <w:rsid w:val="00B942AE"/>
    <w:rsid w:val="00B945A1"/>
    <w:rsid w:val="00B945E7"/>
    <w:rsid w:val="00B94AB0"/>
    <w:rsid w:val="00B94F6E"/>
    <w:rsid w:val="00B95133"/>
    <w:rsid w:val="00B95F9B"/>
    <w:rsid w:val="00B960B8"/>
    <w:rsid w:val="00B966B1"/>
    <w:rsid w:val="00B96EDE"/>
    <w:rsid w:val="00B97B25"/>
    <w:rsid w:val="00BA0219"/>
    <w:rsid w:val="00BA027F"/>
    <w:rsid w:val="00BA06EF"/>
    <w:rsid w:val="00BA081B"/>
    <w:rsid w:val="00BA0E29"/>
    <w:rsid w:val="00BA2924"/>
    <w:rsid w:val="00BA3204"/>
    <w:rsid w:val="00BA3A09"/>
    <w:rsid w:val="00BA4316"/>
    <w:rsid w:val="00BA43C2"/>
    <w:rsid w:val="00BA44EE"/>
    <w:rsid w:val="00BA4607"/>
    <w:rsid w:val="00BA496F"/>
    <w:rsid w:val="00BA4B2F"/>
    <w:rsid w:val="00BA52BF"/>
    <w:rsid w:val="00BA5593"/>
    <w:rsid w:val="00BA5B71"/>
    <w:rsid w:val="00BA6EBA"/>
    <w:rsid w:val="00BA71B9"/>
    <w:rsid w:val="00BA73DB"/>
    <w:rsid w:val="00BA7F51"/>
    <w:rsid w:val="00BB03BB"/>
    <w:rsid w:val="00BB10FE"/>
    <w:rsid w:val="00BB11B5"/>
    <w:rsid w:val="00BB13E2"/>
    <w:rsid w:val="00BB150C"/>
    <w:rsid w:val="00BB1807"/>
    <w:rsid w:val="00BB19E6"/>
    <w:rsid w:val="00BB2E40"/>
    <w:rsid w:val="00BB2FFF"/>
    <w:rsid w:val="00BB30F9"/>
    <w:rsid w:val="00BB3921"/>
    <w:rsid w:val="00BB3DCB"/>
    <w:rsid w:val="00BB4926"/>
    <w:rsid w:val="00BB50E6"/>
    <w:rsid w:val="00BB59C8"/>
    <w:rsid w:val="00BB6EC5"/>
    <w:rsid w:val="00BB70B4"/>
    <w:rsid w:val="00BB789A"/>
    <w:rsid w:val="00BC016B"/>
    <w:rsid w:val="00BC036B"/>
    <w:rsid w:val="00BC0382"/>
    <w:rsid w:val="00BC0657"/>
    <w:rsid w:val="00BC0FEF"/>
    <w:rsid w:val="00BC162D"/>
    <w:rsid w:val="00BC1C62"/>
    <w:rsid w:val="00BC1CC5"/>
    <w:rsid w:val="00BC2262"/>
    <w:rsid w:val="00BC235A"/>
    <w:rsid w:val="00BC2952"/>
    <w:rsid w:val="00BC2B9D"/>
    <w:rsid w:val="00BC2D09"/>
    <w:rsid w:val="00BC368F"/>
    <w:rsid w:val="00BC4318"/>
    <w:rsid w:val="00BC4E4A"/>
    <w:rsid w:val="00BC5D37"/>
    <w:rsid w:val="00BC60CE"/>
    <w:rsid w:val="00BC634A"/>
    <w:rsid w:val="00BC6395"/>
    <w:rsid w:val="00BC6B2A"/>
    <w:rsid w:val="00BC6CCA"/>
    <w:rsid w:val="00BC6DB4"/>
    <w:rsid w:val="00BC79AE"/>
    <w:rsid w:val="00BC7A12"/>
    <w:rsid w:val="00BC7EF3"/>
    <w:rsid w:val="00BD1385"/>
    <w:rsid w:val="00BD1913"/>
    <w:rsid w:val="00BD1EB7"/>
    <w:rsid w:val="00BD2042"/>
    <w:rsid w:val="00BD2365"/>
    <w:rsid w:val="00BD2487"/>
    <w:rsid w:val="00BD2A81"/>
    <w:rsid w:val="00BD38B2"/>
    <w:rsid w:val="00BD43A6"/>
    <w:rsid w:val="00BD446B"/>
    <w:rsid w:val="00BD4646"/>
    <w:rsid w:val="00BD46BF"/>
    <w:rsid w:val="00BD4CA3"/>
    <w:rsid w:val="00BD4D7E"/>
    <w:rsid w:val="00BD5218"/>
    <w:rsid w:val="00BD54D0"/>
    <w:rsid w:val="00BD554E"/>
    <w:rsid w:val="00BD5675"/>
    <w:rsid w:val="00BD588A"/>
    <w:rsid w:val="00BD5CF4"/>
    <w:rsid w:val="00BD5D97"/>
    <w:rsid w:val="00BD6745"/>
    <w:rsid w:val="00BD6D56"/>
    <w:rsid w:val="00BD7962"/>
    <w:rsid w:val="00BE0326"/>
    <w:rsid w:val="00BE0F5C"/>
    <w:rsid w:val="00BE12FA"/>
    <w:rsid w:val="00BE2203"/>
    <w:rsid w:val="00BE26E2"/>
    <w:rsid w:val="00BE2808"/>
    <w:rsid w:val="00BE3830"/>
    <w:rsid w:val="00BE3895"/>
    <w:rsid w:val="00BE4FD5"/>
    <w:rsid w:val="00BE505D"/>
    <w:rsid w:val="00BE507F"/>
    <w:rsid w:val="00BE55AC"/>
    <w:rsid w:val="00BE5BAE"/>
    <w:rsid w:val="00BE635F"/>
    <w:rsid w:val="00BE6CE6"/>
    <w:rsid w:val="00BE7039"/>
    <w:rsid w:val="00BE71C3"/>
    <w:rsid w:val="00BE723E"/>
    <w:rsid w:val="00BE7908"/>
    <w:rsid w:val="00BE7E0D"/>
    <w:rsid w:val="00BE7FE9"/>
    <w:rsid w:val="00BF06BA"/>
    <w:rsid w:val="00BF094F"/>
    <w:rsid w:val="00BF0C1E"/>
    <w:rsid w:val="00BF0FF9"/>
    <w:rsid w:val="00BF13E6"/>
    <w:rsid w:val="00BF17E8"/>
    <w:rsid w:val="00BF20EA"/>
    <w:rsid w:val="00BF249B"/>
    <w:rsid w:val="00BF2631"/>
    <w:rsid w:val="00BF2880"/>
    <w:rsid w:val="00BF2C53"/>
    <w:rsid w:val="00BF32AA"/>
    <w:rsid w:val="00BF3555"/>
    <w:rsid w:val="00BF3AE6"/>
    <w:rsid w:val="00BF3D02"/>
    <w:rsid w:val="00BF3D99"/>
    <w:rsid w:val="00BF40E1"/>
    <w:rsid w:val="00BF44F2"/>
    <w:rsid w:val="00BF4548"/>
    <w:rsid w:val="00BF4617"/>
    <w:rsid w:val="00BF5523"/>
    <w:rsid w:val="00BF60A0"/>
    <w:rsid w:val="00BF6925"/>
    <w:rsid w:val="00BF7452"/>
    <w:rsid w:val="00BF75E4"/>
    <w:rsid w:val="00C0047A"/>
    <w:rsid w:val="00C00892"/>
    <w:rsid w:val="00C0098A"/>
    <w:rsid w:val="00C00B35"/>
    <w:rsid w:val="00C00D32"/>
    <w:rsid w:val="00C01171"/>
    <w:rsid w:val="00C01272"/>
    <w:rsid w:val="00C0193B"/>
    <w:rsid w:val="00C01B7B"/>
    <w:rsid w:val="00C02600"/>
    <w:rsid w:val="00C026EE"/>
    <w:rsid w:val="00C0285C"/>
    <w:rsid w:val="00C02B84"/>
    <w:rsid w:val="00C03044"/>
    <w:rsid w:val="00C03045"/>
    <w:rsid w:val="00C034DA"/>
    <w:rsid w:val="00C03C38"/>
    <w:rsid w:val="00C03E49"/>
    <w:rsid w:val="00C04990"/>
    <w:rsid w:val="00C04C02"/>
    <w:rsid w:val="00C05DBD"/>
    <w:rsid w:val="00C06384"/>
    <w:rsid w:val="00C0703E"/>
    <w:rsid w:val="00C07115"/>
    <w:rsid w:val="00C10E57"/>
    <w:rsid w:val="00C11D48"/>
    <w:rsid w:val="00C12A1F"/>
    <w:rsid w:val="00C12C2E"/>
    <w:rsid w:val="00C1345F"/>
    <w:rsid w:val="00C13600"/>
    <w:rsid w:val="00C1378A"/>
    <w:rsid w:val="00C13C95"/>
    <w:rsid w:val="00C144D3"/>
    <w:rsid w:val="00C14A34"/>
    <w:rsid w:val="00C15564"/>
    <w:rsid w:val="00C1565A"/>
    <w:rsid w:val="00C16D11"/>
    <w:rsid w:val="00C16DF5"/>
    <w:rsid w:val="00C17012"/>
    <w:rsid w:val="00C17798"/>
    <w:rsid w:val="00C17983"/>
    <w:rsid w:val="00C179E7"/>
    <w:rsid w:val="00C17C04"/>
    <w:rsid w:val="00C17EF7"/>
    <w:rsid w:val="00C203D5"/>
    <w:rsid w:val="00C20F5F"/>
    <w:rsid w:val="00C229EF"/>
    <w:rsid w:val="00C22A6A"/>
    <w:rsid w:val="00C22B23"/>
    <w:rsid w:val="00C22B5F"/>
    <w:rsid w:val="00C23087"/>
    <w:rsid w:val="00C2402E"/>
    <w:rsid w:val="00C244F9"/>
    <w:rsid w:val="00C246C1"/>
    <w:rsid w:val="00C246DA"/>
    <w:rsid w:val="00C24774"/>
    <w:rsid w:val="00C248BE"/>
    <w:rsid w:val="00C24B69"/>
    <w:rsid w:val="00C25363"/>
    <w:rsid w:val="00C256DB"/>
    <w:rsid w:val="00C25874"/>
    <w:rsid w:val="00C25EC2"/>
    <w:rsid w:val="00C25F80"/>
    <w:rsid w:val="00C2682C"/>
    <w:rsid w:val="00C2693E"/>
    <w:rsid w:val="00C26CB9"/>
    <w:rsid w:val="00C272C6"/>
    <w:rsid w:val="00C27406"/>
    <w:rsid w:val="00C275DB"/>
    <w:rsid w:val="00C27BCA"/>
    <w:rsid w:val="00C30723"/>
    <w:rsid w:val="00C309B1"/>
    <w:rsid w:val="00C3166E"/>
    <w:rsid w:val="00C3176E"/>
    <w:rsid w:val="00C31E3D"/>
    <w:rsid w:val="00C31E54"/>
    <w:rsid w:val="00C31F94"/>
    <w:rsid w:val="00C320B8"/>
    <w:rsid w:val="00C323D2"/>
    <w:rsid w:val="00C324FF"/>
    <w:rsid w:val="00C32A6C"/>
    <w:rsid w:val="00C3339A"/>
    <w:rsid w:val="00C33F08"/>
    <w:rsid w:val="00C341B0"/>
    <w:rsid w:val="00C34369"/>
    <w:rsid w:val="00C34B51"/>
    <w:rsid w:val="00C34D5F"/>
    <w:rsid w:val="00C34EC2"/>
    <w:rsid w:val="00C34FBD"/>
    <w:rsid w:val="00C351D9"/>
    <w:rsid w:val="00C35B9F"/>
    <w:rsid w:val="00C35C8B"/>
    <w:rsid w:val="00C35D8B"/>
    <w:rsid w:val="00C36231"/>
    <w:rsid w:val="00C36432"/>
    <w:rsid w:val="00C36528"/>
    <w:rsid w:val="00C3675B"/>
    <w:rsid w:val="00C36919"/>
    <w:rsid w:val="00C37557"/>
    <w:rsid w:val="00C37E80"/>
    <w:rsid w:val="00C40461"/>
    <w:rsid w:val="00C40787"/>
    <w:rsid w:val="00C40D34"/>
    <w:rsid w:val="00C40FDD"/>
    <w:rsid w:val="00C41271"/>
    <w:rsid w:val="00C412FD"/>
    <w:rsid w:val="00C41624"/>
    <w:rsid w:val="00C42E07"/>
    <w:rsid w:val="00C42E46"/>
    <w:rsid w:val="00C44166"/>
    <w:rsid w:val="00C44270"/>
    <w:rsid w:val="00C44BBC"/>
    <w:rsid w:val="00C44CD9"/>
    <w:rsid w:val="00C450E6"/>
    <w:rsid w:val="00C46217"/>
    <w:rsid w:val="00C46270"/>
    <w:rsid w:val="00C46DA5"/>
    <w:rsid w:val="00C502A0"/>
    <w:rsid w:val="00C50709"/>
    <w:rsid w:val="00C508A5"/>
    <w:rsid w:val="00C50A41"/>
    <w:rsid w:val="00C50BFC"/>
    <w:rsid w:val="00C50E61"/>
    <w:rsid w:val="00C51189"/>
    <w:rsid w:val="00C51D87"/>
    <w:rsid w:val="00C51D9A"/>
    <w:rsid w:val="00C523F7"/>
    <w:rsid w:val="00C527B5"/>
    <w:rsid w:val="00C52EFD"/>
    <w:rsid w:val="00C5369E"/>
    <w:rsid w:val="00C53A8A"/>
    <w:rsid w:val="00C53B31"/>
    <w:rsid w:val="00C53FDA"/>
    <w:rsid w:val="00C54017"/>
    <w:rsid w:val="00C5419E"/>
    <w:rsid w:val="00C541D8"/>
    <w:rsid w:val="00C541DD"/>
    <w:rsid w:val="00C546C7"/>
    <w:rsid w:val="00C54AC7"/>
    <w:rsid w:val="00C54ADE"/>
    <w:rsid w:val="00C54D62"/>
    <w:rsid w:val="00C54F90"/>
    <w:rsid w:val="00C553B7"/>
    <w:rsid w:val="00C55BE1"/>
    <w:rsid w:val="00C55F25"/>
    <w:rsid w:val="00C55F3D"/>
    <w:rsid w:val="00C56B2C"/>
    <w:rsid w:val="00C56C4B"/>
    <w:rsid w:val="00C56D4C"/>
    <w:rsid w:val="00C56DBA"/>
    <w:rsid w:val="00C56F9B"/>
    <w:rsid w:val="00C574EB"/>
    <w:rsid w:val="00C600B6"/>
    <w:rsid w:val="00C60321"/>
    <w:rsid w:val="00C60826"/>
    <w:rsid w:val="00C60E95"/>
    <w:rsid w:val="00C6166B"/>
    <w:rsid w:val="00C6179B"/>
    <w:rsid w:val="00C618A9"/>
    <w:rsid w:val="00C61DC2"/>
    <w:rsid w:val="00C6213C"/>
    <w:rsid w:val="00C621F1"/>
    <w:rsid w:val="00C62396"/>
    <w:rsid w:val="00C6249F"/>
    <w:rsid w:val="00C62571"/>
    <w:rsid w:val="00C62816"/>
    <w:rsid w:val="00C62BA8"/>
    <w:rsid w:val="00C63706"/>
    <w:rsid w:val="00C63A3E"/>
    <w:rsid w:val="00C64521"/>
    <w:rsid w:val="00C6475E"/>
    <w:rsid w:val="00C64CB5"/>
    <w:rsid w:val="00C64DD1"/>
    <w:rsid w:val="00C65126"/>
    <w:rsid w:val="00C6524B"/>
    <w:rsid w:val="00C657F9"/>
    <w:rsid w:val="00C65DAF"/>
    <w:rsid w:val="00C665CE"/>
    <w:rsid w:val="00C66E75"/>
    <w:rsid w:val="00C672BF"/>
    <w:rsid w:val="00C67557"/>
    <w:rsid w:val="00C6766A"/>
    <w:rsid w:val="00C67EF1"/>
    <w:rsid w:val="00C70495"/>
    <w:rsid w:val="00C7099D"/>
    <w:rsid w:val="00C70FEB"/>
    <w:rsid w:val="00C71297"/>
    <w:rsid w:val="00C715C5"/>
    <w:rsid w:val="00C71A9C"/>
    <w:rsid w:val="00C71D5C"/>
    <w:rsid w:val="00C71D78"/>
    <w:rsid w:val="00C71E42"/>
    <w:rsid w:val="00C729C0"/>
    <w:rsid w:val="00C732DB"/>
    <w:rsid w:val="00C7357B"/>
    <w:rsid w:val="00C73D26"/>
    <w:rsid w:val="00C73D4E"/>
    <w:rsid w:val="00C7460A"/>
    <w:rsid w:val="00C749C5"/>
    <w:rsid w:val="00C7534B"/>
    <w:rsid w:val="00C755BD"/>
    <w:rsid w:val="00C759AD"/>
    <w:rsid w:val="00C75BCA"/>
    <w:rsid w:val="00C75EE8"/>
    <w:rsid w:val="00C764AE"/>
    <w:rsid w:val="00C76F35"/>
    <w:rsid w:val="00C77585"/>
    <w:rsid w:val="00C77696"/>
    <w:rsid w:val="00C800EF"/>
    <w:rsid w:val="00C80BF9"/>
    <w:rsid w:val="00C80CF0"/>
    <w:rsid w:val="00C81981"/>
    <w:rsid w:val="00C823F7"/>
    <w:rsid w:val="00C82508"/>
    <w:rsid w:val="00C826A4"/>
    <w:rsid w:val="00C827B4"/>
    <w:rsid w:val="00C82A4A"/>
    <w:rsid w:val="00C82CB3"/>
    <w:rsid w:val="00C82CD2"/>
    <w:rsid w:val="00C82D5E"/>
    <w:rsid w:val="00C831B2"/>
    <w:rsid w:val="00C83420"/>
    <w:rsid w:val="00C8367D"/>
    <w:rsid w:val="00C85058"/>
    <w:rsid w:val="00C8521B"/>
    <w:rsid w:val="00C85585"/>
    <w:rsid w:val="00C85A28"/>
    <w:rsid w:val="00C867CD"/>
    <w:rsid w:val="00C869B5"/>
    <w:rsid w:val="00C86F51"/>
    <w:rsid w:val="00C873A8"/>
    <w:rsid w:val="00C873DF"/>
    <w:rsid w:val="00C8786A"/>
    <w:rsid w:val="00C87895"/>
    <w:rsid w:val="00C87A54"/>
    <w:rsid w:val="00C87D0A"/>
    <w:rsid w:val="00C87E8E"/>
    <w:rsid w:val="00C9030B"/>
    <w:rsid w:val="00C90465"/>
    <w:rsid w:val="00C90560"/>
    <w:rsid w:val="00C907A3"/>
    <w:rsid w:val="00C90B8E"/>
    <w:rsid w:val="00C9101C"/>
    <w:rsid w:val="00C910C0"/>
    <w:rsid w:val="00C9127D"/>
    <w:rsid w:val="00C912A2"/>
    <w:rsid w:val="00C917B9"/>
    <w:rsid w:val="00C91B6D"/>
    <w:rsid w:val="00C91BD8"/>
    <w:rsid w:val="00C91C9F"/>
    <w:rsid w:val="00C91F21"/>
    <w:rsid w:val="00C921CF"/>
    <w:rsid w:val="00C929C1"/>
    <w:rsid w:val="00C92CFF"/>
    <w:rsid w:val="00C932C3"/>
    <w:rsid w:val="00C93707"/>
    <w:rsid w:val="00C9450E"/>
    <w:rsid w:val="00C94F06"/>
    <w:rsid w:val="00C959E5"/>
    <w:rsid w:val="00C9604C"/>
    <w:rsid w:val="00C966CF"/>
    <w:rsid w:val="00C96F8A"/>
    <w:rsid w:val="00C97447"/>
    <w:rsid w:val="00C975EB"/>
    <w:rsid w:val="00C97685"/>
    <w:rsid w:val="00CA0657"/>
    <w:rsid w:val="00CA09AF"/>
    <w:rsid w:val="00CA09BE"/>
    <w:rsid w:val="00CA0B3B"/>
    <w:rsid w:val="00CA0F5C"/>
    <w:rsid w:val="00CA1595"/>
    <w:rsid w:val="00CA1874"/>
    <w:rsid w:val="00CA1B0F"/>
    <w:rsid w:val="00CA1D38"/>
    <w:rsid w:val="00CA25D1"/>
    <w:rsid w:val="00CA26EE"/>
    <w:rsid w:val="00CA2C69"/>
    <w:rsid w:val="00CA3A35"/>
    <w:rsid w:val="00CA3E54"/>
    <w:rsid w:val="00CA4377"/>
    <w:rsid w:val="00CA4AC1"/>
    <w:rsid w:val="00CA4AF0"/>
    <w:rsid w:val="00CA4D96"/>
    <w:rsid w:val="00CA5245"/>
    <w:rsid w:val="00CA5365"/>
    <w:rsid w:val="00CA5623"/>
    <w:rsid w:val="00CA594F"/>
    <w:rsid w:val="00CA5BB9"/>
    <w:rsid w:val="00CA6B34"/>
    <w:rsid w:val="00CA6DBC"/>
    <w:rsid w:val="00CA769C"/>
    <w:rsid w:val="00CA7ACF"/>
    <w:rsid w:val="00CA7D17"/>
    <w:rsid w:val="00CB034E"/>
    <w:rsid w:val="00CB08FC"/>
    <w:rsid w:val="00CB0900"/>
    <w:rsid w:val="00CB0B09"/>
    <w:rsid w:val="00CB0BE6"/>
    <w:rsid w:val="00CB1015"/>
    <w:rsid w:val="00CB1695"/>
    <w:rsid w:val="00CB1845"/>
    <w:rsid w:val="00CB23A5"/>
    <w:rsid w:val="00CB24D5"/>
    <w:rsid w:val="00CB2507"/>
    <w:rsid w:val="00CB2F49"/>
    <w:rsid w:val="00CB3730"/>
    <w:rsid w:val="00CB3A0A"/>
    <w:rsid w:val="00CB3AA0"/>
    <w:rsid w:val="00CB4DDF"/>
    <w:rsid w:val="00CB4FF0"/>
    <w:rsid w:val="00CB53A8"/>
    <w:rsid w:val="00CB58E7"/>
    <w:rsid w:val="00CB5D50"/>
    <w:rsid w:val="00CB5E9A"/>
    <w:rsid w:val="00CB6309"/>
    <w:rsid w:val="00CB63F0"/>
    <w:rsid w:val="00CB68A1"/>
    <w:rsid w:val="00CB68F3"/>
    <w:rsid w:val="00CB7084"/>
    <w:rsid w:val="00CB7CF7"/>
    <w:rsid w:val="00CC02B5"/>
    <w:rsid w:val="00CC0ACD"/>
    <w:rsid w:val="00CC0B11"/>
    <w:rsid w:val="00CC114D"/>
    <w:rsid w:val="00CC1271"/>
    <w:rsid w:val="00CC1549"/>
    <w:rsid w:val="00CC1953"/>
    <w:rsid w:val="00CC1B17"/>
    <w:rsid w:val="00CC1C61"/>
    <w:rsid w:val="00CC22C8"/>
    <w:rsid w:val="00CC238B"/>
    <w:rsid w:val="00CC253E"/>
    <w:rsid w:val="00CC3815"/>
    <w:rsid w:val="00CC3BE8"/>
    <w:rsid w:val="00CC40A6"/>
    <w:rsid w:val="00CC4388"/>
    <w:rsid w:val="00CC4A3C"/>
    <w:rsid w:val="00CC4F3F"/>
    <w:rsid w:val="00CC507A"/>
    <w:rsid w:val="00CC52FF"/>
    <w:rsid w:val="00CC5513"/>
    <w:rsid w:val="00CC573F"/>
    <w:rsid w:val="00CC5809"/>
    <w:rsid w:val="00CC581A"/>
    <w:rsid w:val="00CC62D0"/>
    <w:rsid w:val="00CC656E"/>
    <w:rsid w:val="00CC6AEF"/>
    <w:rsid w:val="00CC6E78"/>
    <w:rsid w:val="00CC6F31"/>
    <w:rsid w:val="00CC73ED"/>
    <w:rsid w:val="00CC7C2F"/>
    <w:rsid w:val="00CD0523"/>
    <w:rsid w:val="00CD0680"/>
    <w:rsid w:val="00CD0A09"/>
    <w:rsid w:val="00CD100A"/>
    <w:rsid w:val="00CD11AD"/>
    <w:rsid w:val="00CD1CB8"/>
    <w:rsid w:val="00CD2604"/>
    <w:rsid w:val="00CD26B5"/>
    <w:rsid w:val="00CD2C71"/>
    <w:rsid w:val="00CD35C6"/>
    <w:rsid w:val="00CD3907"/>
    <w:rsid w:val="00CD3CF2"/>
    <w:rsid w:val="00CD3DC2"/>
    <w:rsid w:val="00CD41A9"/>
    <w:rsid w:val="00CD4AE0"/>
    <w:rsid w:val="00CD58DE"/>
    <w:rsid w:val="00CD655B"/>
    <w:rsid w:val="00CD672D"/>
    <w:rsid w:val="00CD6752"/>
    <w:rsid w:val="00CD73DE"/>
    <w:rsid w:val="00CD7586"/>
    <w:rsid w:val="00CD78C8"/>
    <w:rsid w:val="00CD7ED5"/>
    <w:rsid w:val="00CE02CB"/>
    <w:rsid w:val="00CE041C"/>
    <w:rsid w:val="00CE1439"/>
    <w:rsid w:val="00CE1486"/>
    <w:rsid w:val="00CE1828"/>
    <w:rsid w:val="00CE1865"/>
    <w:rsid w:val="00CE19C4"/>
    <w:rsid w:val="00CE20D3"/>
    <w:rsid w:val="00CE2122"/>
    <w:rsid w:val="00CE26DC"/>
    <w:rsid w:val="00CE2D27"/>
    <w:rsid w:val="00CE2EB1"/>
    <w:rsid w:val="00CE330B"/>
    <w:rsid w:val="00CE35CE"/>
    <w:rsid w:val="00CE3A20"/>
    <w:rsid w:val="00CE3CCB"/>
    <w:rsid w:val="00CE423E"/>
    <w:rsid w:val="00CE48E3"/>
    <w:rsid w:val="00CE50CE"/>
    <w:rsid w:val="00CE5476"/>
    <w:rsid w:val="00CE5A7E"/>
    <w:rsid w:val="00CE5EEA"/>
    <w:rsid w:val="00CE6EF6"/>
    <w:rsid w:val="00CE718F"/>
    <w:rsid w:val="00CF04F0"/>
    <w:rsid w:val="00CF0AD4"/>
    <w:rsid w:val="00CF1173"/>
    <w:rsid w:val="00CF16EE"/>
    <w:rsid w:val="00CF1761"/>
    <w:rsid w:val="00CF1987"/>
    <w:rsid w:val="00CF1D07"/>
    <w:rsid w:val="00CF2788"/>
    <w:rsid w:val="00CF32F3"/>
    <w:rsid w:val="00CF332A"/>
    <w:rsid w:val="00CF35C4"/>
    <w:rsid w:val="00CF3835"/>
    <w:rsid w:val="00CF38BF"/>
    <w:rsid w:val="00CF4100"/>
    <w:rsid w:val="00CF42B3"/>
    <w:rsid w:val="00CF54B8"/>
    <w:rsid w:val="00CF5B29"/>
    <w:rsid w:val="00CF614C"/>
    <w:rsid w:val="00CF6255"/>
    <w:rsid w:val="00CF665F"/>
    <w:rsid w:val="00CF6678"/>
    <w:rsid w:val="00CF679A"/>
    <w:rsid w:val="00CF6A3B"/>
    <w:rsid w:val="00CF6DF5"/>
    <w:rsid w:val="00CF7819"/>
    <w:rsid w:val="00D001F3"/>
    <w:rsid w:val="00D0028A"/>
    <w:rsid w:val="00D00299"/>
    <w:rsid w:val="00D004F8"/>
    <w:rsid w:val="00D00CC5"/>
    <w:rsid w:val="00D00EDE"/>
    <w:rsid w:val="00D0146C"/>
    <w:rsid w:val="00D01979"/>
    <w:rsid w:val="00D01CCA"/>
    <w:rsid w:val="00D01D4B"/>
    <w:rsid w:val="00D01F9E"/>
    <w:rsid w:val="00D02196"/>
    <w:rsid w:val="00D031C9"/>
    <w:rsid w:val="00D03A4C"/>
    <w:rsid w:val="00D03CD9"/>
    <w:rsid w:val="00D04124"/>
    <w:rsid w:val="00D0478A"/>
    <w:rsid w:val="00D04FC2"/>
    <w:rsid w:val="00D0527F"/>
    <w:rsid w:val="00D0541A"/>
    <w:rsid w:val="00D0598B"/>
    <w:rsid w:val="00D065E7"/>
    <w:rsid w:val="00D066D4"/>
    <w:rsid w:val="00D067F2"/>
    <w:rsid w:val="00D068E7"/>
    <w:rsid w:val="00D06B18"/>
    <w:rsid w:val="00D07D1E"/>
    <w:rsid w:val="00D10255"/>
    <w:rsid w:val="00D10566"/>
    <w:rsid w:val="00D10AF5"/>
    <w:rsid w:val="00D10B45"/>
    <w:rsid w:val="00D10D68"/>
    <w:rsid w:val="00D111A3"/>
    <w:rsid w:val="00D11384"/>
    <w:rsid w:val="00D11435"/>
    <w:rsid w:val="00D11659"/>
    <w:rsid w:val="00D11A3C"/>
    <w:rsid w:val="00D122AF"/>
    <w:rsid w:val="00D12945"/>
    <w:rsid w:val="00D12FE1"/>
    <w:rsid w:val="00D13173"/>
    <w:rsid w:val="00D1412D"/>
    <w:rsid w:val="00D14AA5"/>
    <w:rsid w:val="00D14AF4"/>
    <w:rsid w:val="00D15538"/>
    <w:rsid w:val="00D15648"/>
    <w:rsid w:val="00D15715"/>
    <w:rsid w:val="00D159FA"/>
    <w:rsid w:val="00D15B38"/>
    <w:rsid w:val="00D15C49"/>
    <w:rsid w:val="00D16191"/>
    <w:rsid w:val="00D164B3"/>
    <w:rsid w:val="00D16601"/>
    <w:rsid w:val="00D166DF"/>
    <w:rsid w:val="00D16F7E"/>
    <w:rsid w:val="00D16FF0"/>
    <w:rsid w:val="00D17467"/>
    <w:rsid w:val="00D17B2A"/>
    <w:rsid w:val="00D20688"/>
    <w:rsid w:val="00D209AE"/>
    <w:rsid w:val="00D20B3A"/>
    <w:rsid w:val="00D21604"/>
    <w:rsid w:val="00D21610"/>
    <w:rsid w:val="00D2182E"/>
    <w:rsid w:val="00D226BE"/>
    <w:rsid w:val="00D230D4"/>
    <w:rsid w:val="00D23843"/>
    <w:rsid w:val="00D239F8"/>
    <w:rsid w:val="00D23C2E"/>
    <w:rsid w:val="00D24174"/>
    <w:rsid w:val="00D2445E"/>
    <w:rsid w:val="00D247D6"/>
    <w:rsid w:val="00D24B18"/>
    <w:rsid w:val="00D25797"/>
    <w:rsid w:val="00D25B3C"/>
    <w:rsid w:val="00D25C1A"/>
    <w:rsid w:val="00D25F90"/>
    <w:rsid w:val="00D265F9"/>
    <w:rsid w:val="00D271D5"/>
    <w:rsid w:val="00D27844"/>
    <w:rsid w:val="00D27E47"/>
    <w:rsid w:val="00D27FFC"/>
    <w:rsid w:val="00D30839"/>
    <w:rsid w:val="00D30E9C"/>
    <w:rsid w:val="00D30E9D"/>
    <w:rsid w:val="00D3146E"/>
    <w:rsid w:val="00D31873"/>
    <w:rsid w:val="00D31ED0"/>
    <w:rsid w:val="00D32503"/>
    <w:rsid w:val="00D328CF"/>
    <w:rsid w:val="00D3303A"/>
    <w:rsid w:val="00D330D4"/>
    <w:rsid w:val="00D333D0"/>
    <w:rsid w:val="00D33A09"/>
    <w:rsid w:val="00D33A30"/>
    <w:rsid w:val="00D33A32"/>
    <w:rsid w:val="00D33C7A"/>
    <w:rsid w:val="00D341C4"/>
    <w:rsid w:val="00D34472"/>
    <w:rsid w:val="00D3466D"/>
    <w:rsid w:val="00D346CD"/>
    <w:rsid w:val="00D34858"/>
    <w:rsid w:val="00D3494B"/>
    <w:rsid w:val="00D34BF1"/>
    <w:rsid w:val="00D34C6E"/>
    <w:rsid w:val="00D34EA5"/>
    <w:rsid w:val="00D3501C"/>
    <w:rsid w:val="00D35582"/>
    <w:rsid w:val="00D3562E"/>
    <w:rsid w:val="00D3565C"/>
    <w:rsid w:val="00D35BC8"/>
    <w:rsid w:val="00D35FF5"/>
    <w:rsid w:val="00D363DC"/>
    <w:rsid w:val="00D36509"/>
    <w:rsid w:val="00D367D8"/>
    <w:rsid w:val="00D36872"/>
    <w:rsid w:val="00D36B0C"/>
    <w:rsid w:val="00D36C71"/>
    <w:rsid w:val="00D36DB1"/>
    <w:rsid w:val="00D37B65"/>
    <w:rsid w:val="00D4019E"/>
    <w:rsid w:val="00D4061C"/>
    <w:rsid w:val="00D40EB5"/>
    <w:rsid w:val="00D410A6"/>
    <w:rsid w:val="00D41977"/>
    <w:rsid w:val="00D41C90"/>
    <w:rsid w:val="00D41CF2"/>
    <w:rsid w:val="00D42374"/>
    <w:rsid w:val="00D42A79"/>
    <w:rsid w:val="00D42A9D"/>
    <w:rsid w:val="00D43794"/>
    <w:rsid w:val="00D444ED"/>
    <w:rsid w:val="00D44B1E"/>
    <w:rsid w:val="00D44B3C"/>
    <w:rsid w:val="00D44DE9"/>
    <w:rsid w:val="00D4513E"/>
    <w:rsid w:val="00D45DBE"/>
    <w:rsid w:val="00D46114"/>
    <w:rsid w:val="00D465EC"/>
    <w:rsid w:val="00D46912"/>
    <w:rsid w:val="00D46AB0"/>
    <w:rsid w:val="00D46D10"/>
    <w:rsid w:val="00D46E75"/>
    <w:rsid w:val="00D47352"/>
    <w:rsid w:val="00D4742F"/>
    <w:rsid w:val="00D47A09"/>
    <w:rsid w:val="00D47BA9"/>
    <w:rsid w:val="00D47C60"/>
    <w:rsid w:val="00D50255"/>
    <w:rsid w:val="00D504A5"/>
    <w:rsid w:val="00D50912"/>
    <w:rsid w:val="00D50AD7"/>
    <w:rsid w:val="00D50C93"/>
    <w:rsid w:val="00D51235"/>
    <w:rsid w:val="00D51A03"/>
    <w:rsid w:val="00D52256"/>
    <w:rsid w:val="00D52296"/>
    <w:rsid w:val="00D526E2"/>
    <w:rsid w:val="00D52976"/>
    <w:rsid w:val="00D52989"/>
    <w:rsid w:val="00D52B9A"/>
    <w:rsid w:val="00D53788"/>
    <w:rsid w:val="00D538C6"/>
    <w:rsid w:val="00D53AEC"/>
    <w:rsid w:val="00D53FFC"/>
    <w:rsid w:val="00D5437F"/>
    <w:rsid w:val="00D547A3"/>
    <w:rsid w:val="00D547AA"/>
    <w:rsid w:val="00D54841"/>
    <w:rsid w:val="00D54EF1"/>
    <w:rsid w:val="00D553E4"/>
    <w:rsid w:val="00D55C9B"/>
    <w:rsid w:val="00D55F01"/>
    <w:rsid w:val="00D570D0"/>
    <w:rsid w:val="00D5719A"/>
    <w:rsid w:val="00D57B6D"/>
    <w:rsid w:val="00D57D62"/>
    <w:rsid w:val="00D57E86"/>
    <w:rsid w:val="00D601D1"/>
    <w:rsid w:val="00D60A91"/>
    <w:rsid w:val="00D60BAD"/>
    <w:rsid w:val="00D612FE"/>
    <w:rsid w:val="00D61E91"/>
    <w:rsid w:val="00D62518"/>
    <w:rsid w:val="00D626F8"/>
    <w:rsid w:val="00D62E67"/>
    <w:rsid w:val="00D64BD8"/>
    <w:rsid w:val="00D64C2E"/>
    <w:rsid w:val="00D64C5B"/>
    <w:rsid w:val="00D64F88"/>
    <w:rsid w:val="00D650EB"/>
    <w:rsid w:val="00D65482"/>
    <w:rsid w:val="00D65623"/>
    <w:rsid w:val="00D65975"/>
    <w:rsid w:val="00D65AA4"/>
    <w:rsid w:val="00D65DB7"/>
    <w:rsid w:val="00D66120"/>
    <w:rsid w:val="00D66BB1"/>
    <w:rsid w:val="00D67025"/>
    <w:rsid w:val="00D67260"/>
    <w:rsid w:val="00D67A4E"/>
    <w:rsid w:val="00D700B6"/>
    <w:rsid w:val="00D7016F"/>
    <w:rsid w:val="00D72495"/>
    <w:rsid w:val="00D72A2E"/>
    <w:rsid w:val="00D72E52"/>
    <w:rsid w:val="00D73038"/>
    <w:rsid w:val="00D7333E"/>
    <w:rsid w:val="00D73512"/>
    <w:rsid w:val="00D73860"/>
    <w:rsid w:val="00D739EA"/>
    <w:rsid w:val="00D73D72"/>
    <w:rsid w:val="00D73E27"/>
    <w:rsid w:val="00D73E61"/>
    <w:rsid w:val="00D743B0"/>
    <w:rsid w:val="00D743D1"/>
    <w:rsid w:val="00D750B5"/>
    <w:rsid w:val="00D75476"/>
    <w:rsid w:val="00D75577"/>
    <w:rsid w:val="00D762AB"/>
    <w:rsid w:val="00D76810"/>
    <w:rsid w:val="00D7722B"/>
    <w:rsid w:val="00D804B1"/>
    <w:rsid w:val="00D80619"/>
    <w:rsid w:val="00D808B2"/>
    <w:rsid w:val="00D8117D"/>
    <w:rsid w:val="00D812DE"/>
    <w:rsid w:val="00D81697"/>
    <w:rsid w:val="00D817DE"/>
    <w:rsid w:val="00D81CEF"/>
    <w:rsid w:val="00D824DD"/>
    <w:rsid w:val="00D825AF"/>
    <w:rsid w:val="00D841DA"/>
    <w:rsid w:val="00D84599"/>
    <w:rsid w:val="00D845F9"/>
    <w:rsid w:val="00D848EF"/>
    <w:rsid w:val="00D84CB9"/>
    <w:rsid w:val="00D853E6"/>
    <w:rsid w:val="00D85F6D"/>
    <w:rsid w:val="00D866AA"/>
    <w:rsid w:val="00D869A8"/>
    <w:rsid w:val="00D86B0E"/>
    <w:rsid w:val="00D86D96"/>
    <w:rsid w:val="00D86E26"/>
    <w:rsid w:val="00D86F87"/>
    <w:rsid w:val="00D86FEE"/>
    <w:rsid w:val="00D8748D"/>
    <w:rsid w:val="00D87A8E"/>
    <w:rsid w:val="00D87CB1"/>
    <w:rsid w:val="00D87D0C"/>
    <w:rsid w:val="00D87F6E"/>
    <w:rsid w:val="00D90472"/>
    <w:rsid w:val="00D9057B"/>
    <w:rsid w:val="00D916F8"/>
    <w:rsid w:val="00D9194A"/>
    <w:rsid w:val="00D91BE4"/>
    <w:rsid w:val="00D91C88"/>
    <w:rsid w:val="00D91EDC"/>
    <w:rsid w:val="00D920FB"/>
    <w:rsid w:val="00D9230C"/>
    <w:rsid w:val="00D92C55"/>
    <w:rsid w:val="00D9327C"/>
    <w:rsid w:val="00D932FE"/>
    <w:rsid w:val="00D93591"/>
    <w:rsid w:val="00D93715"/>
    <w:rsid w:val="00D93D6D"/>
    <w:rsid w:val="00D93EB4"/>
    <w:rsid w:val="00D946BF"/>
    <w:rsid w:val="00D94C14"/>
    <w:rsid w:val="00D94ECC"/>
    <w:rsid w:val="00D9537B"/>
    <w:rsid w:val="00D95586"/>
    <w:rsid w:val="00D957AA"/>
    <w:rsid w:val="00D96138"/>
    <w:rsid w:val="00D962DF"/>
    <w:rsid w:val="00D971C4"/>
    <w:rsid w:val="00D97A2E"/>
    <w:rsid w:val="00D97AF1"/>
    <w:rsid w:val="00DA033C"/>
    <w:rsid w:val="00DA0780"/>
    <w:rsid w:val="00DA08B4"/>
    <w:rsid w:val="00DA0B5C"/>
    <w:rsid w:val="00DA1012"/>
    <w:rsid w:val="00DA165F"/>
    <w:rsid w:val="00DA20BC"/>
    <w:rsid w:val="00DA2B49"/>
    <w:rsid w:val="00DA2D14"/>
    <w:rsid w:val="00DA3098"/>
    <w:rsid w:val="00DA354F"/>
    <w:rsid w:val="00DA4360"/>
    <w:rsid w:val="00DA4406"/>
    <w:rsid w:val="00DA46A6"/>
    <w:rsid w:val="00DA51D2"/>
    <w:rsid w:val="00DA5385"/>
    <w:rsid w:val="00DA53D8"/>
    <w:rsid w:val="00DA614F"/>
    <w:rsid w:val="00DA675B"/>
    <w:rsid w:val="00DA67A6"/>
    <w:rsid w:val="00DA6984"/>
    <w:rsid w:val="00DA69B5"/>
    <w:rsid w:val="00DA6C32"/>
    <w:rsid w:val="00DA7352"/>
    <w:rsid w:val="00DA76ED"/>
    <w:rsid w:val="00DA7743"/>
    <w:rsid w:val="00DA7B69"/>
    <w:rsid w:val="00DB0990"/>
    <w:rsid w:val="00DB0B3A"/>
    <w:rsid w:val="00DB0E05"/>
    <w:rsid w:val="00DB1BFE"/>
    <w:rsid w:val="00DB1C7E"/>
    <w:rsid w:val="00DB1D76"/>
    <w:rsid w:val="00DB1EDD"/>
    <w:rsid w:val="00DB1EF8"/>
    <w:rsid w:val="00DB21C1"/>
    <w:rsid w:val="00DB2716"/>
    <w:rsid w:val="00DB28DC"/>
    <w:rsid w:val="00DB2C6F"/>
    <w:rsid w:val="00DB2DA8"/>
    <w:rsid w:val="00DB32E3"/>
    <w:rsid w:val="00DB3401"/>
    <w:rsid w:val="00DB3594"/>
    <w:rsid w:val="00DB3B19"/>
    <w:rsid w:val="00DB3F96"/>
    <w:rsid w:val="00DB55F8"/>
    <w:rsid w:val="00DB5724"/>
    <w:rsid w:val="00DB6249"/>
    <w:rsid w:val="00DB6877"/>
    <w:rsid w:val="00DB69BD"/>
    <w:rsid w:val="00DB6C06"/>
    <w:rsid w:val="00DB6CF7"/>
    <w:rsid w:val="00DB751E"/>
    <w:rsid w:val="00DB7A5C"/>
    <w:rsid w:val="00DB7A86"/>
    <w:rsid w:val="00DC012C"/>
    <w:rsid w:val="00DC1098"/>
    <w:rsid w:val="00DC13A5"/>
    <w:rsid w:val="00DC1585"/>
    <w:rsid w:val="00DC1883"/>
    <w:rsid w:val="00DC1A8E"/>
    <w:rsid w:val="00DC2BC9"/>
    <w:rsid w:val="00DC2DD2"/>
    <w:rsid w:val="00DC3640"/>
    <w:rsid w:val="00DC37AE"/>
    <w:rsid w:val="00DC3D87"/>
    <w:rsid w:val="00DC466D"/>
    <w:rsid w:val="00DC4AE1"/>
    <w:rsid w:val="00DC4C92"/>
    <w:rsid w:val="00DC4FB9"/>
    <w:rsid w:val="00DC512B"/>
    <w:rsid w:val="00DC565C"/>
    <w:rsid w:val="00DC5868"/>
    <w:rsid w:val="00DC646A"/>
    <w:rsid w:val="00DC67C1"/>
    <w:rsid w:val="00DC6D87"/>
    <w:rsid w:val="00DC6F4D"/>
    <w:rsid w:val="00DC7D5E"/>
    <w:rsid w:val="00DD002A"/>
    <w:rsid w:val="00DD032E"/>
    <w:rsid w:val="00DD03BA"/>
    <w:rsid w:val="00DD0C26"/>
    <w:rsid w:val="00DD0F3C"/>
    <w:rsid w:val="00DD1618"/>
    <w:rsid w:val="00DD1622"/>
    <w:rsid w:val="00DD1B76"/>
    <w:rsid w:val="00DD2484"/>
    <w:rsid w:val="00DD284B"/>
    <w:rsid w:val="00DD3BBE"/>
    <w:rsid w:val="00DD3D6D"/>
    <w:rsid w:val="00DD467D"/>
    <w:rsid w:val="00DD47CA"/>
    <w:rsid w:val="00DD4C77"/>
    <w:rsid w:val="00DD6198"/>
    <w:rsid w:val="00DD62A1"/>
    <w:rsid w:val="00DD739D"/>
    <w:rsid w:val="00DD7641"/>
    <w:rsid w:val="00DD7C57"/>
    <w:rsid w:val="00DE08FD"/>
    <w:rsid w:val="00DE10C2"/>
    <w:rsid w:val="00DE238F"/>
    <w:rsid w:val="00DE2B89"/>
    <w:rsid w:val="00DE2F97"/>
    <w:rsid w:val="00DE3B0B"/>
    <w:rsid w:val="00DE4A36"/>
    <w:rsid w:val="00DE4B22"/>
    <w:rsid w:val="00DE54F7"/>
    <w:rsid w:val="00DE5567"/>
    <w:rsid w:val="00DE5685"/>
    <w:rsid w:val="00DE58D5"/>
    <w:rsid w:val="00DE6191"/>
    <w:rsid w:val="00DE63BA"/>
    <w:rsid w:val="00DE6F7D"/>
    <w:rsid w:val="00DE7F99"/>
    <w:rsid w:val="00DF04D6"/>
    <w:rsid w:val="00DF055B"/>
    <w:rsid w:val="00DF0D45"/>
    <w:rsid w:val="00DF16CB"/>
    <w:rsid w:val="00DF17A0"/>
    <w:rsid w:val="00DF207E"/>
    <w:rsid w:val="00DF3750"/>
    <w:rsid w:val="00DF3B4C"/>
    <w:rsid w:val="00DF428E"/>
    <w:rsid w:val="00DF4A5B"/>
    <w:rsid w:val="00DF51D9"/>
    <w:rsid w:val="00DF5713"/>
    <w:rsid w:val="00DF6557"/>
    <w:rsid w:val="00DF6728"/>
    <w:rsid w:val="00DF678B"/>
    <w:rsid w:val="00DF735E"/>
    <w:rsid w:val="00DF73A2"/>
    <w:rsid w:val="00DF767E"/>
    <w:rsid w:val="00DF76B5"/>
    <w:rsid w:val="00E00B8D"/>
    <w:rsid w:val="00E011C1"/>
    <w:rsid w:val="00E01586"/>
    <w:rsid w:val="00E01E99"/>
    <w:rsid w:val="00E0283A"/>
    <w:rsid w:val="00E029C8"/>
    <w:rsid w:val="00E02C43"/>
    <w:rsid w:val="00E02E4C"/>
    <w:rsid w:val="00E02F4E"/>
    <w:rsid w:val="00E0317C"/>
    <w:rsid w:val="00E03483"/>
    <w:rsid w:val="00E0496D"/>
    <w:rsid w:val="00E05208"/>
    <w:rsid w:val="00E05551"/>
    <w:rsid w:val="00E05E0D"/>
    <w:rsid w:val="00E06062"/>
    <w:rsid w:val="00E06244"/>
    <w:rsid w:val="00E069FB"/>
    <w:rsid w:val="00E074D4"/>
    <w:rsid w:val="00E1008F"/>
    <w:rsid w:val="00E107E6"/>
    <w:rsid w:val="00E10CB8"/>
    <w:rsid w:val="00E11433"/>
    <w:rsid w:val="00E115A3"/>
    <w:rsid w:val="00E118A6"/>
    <w:rsid w:val="00E11B7E"/>
    <w:rsid w:val="00E11DA0"/>
    <w:rsid w:val="00E1214C"/>
    <w:rsid w:val="00E1218E"/>
    <w:rsid w:val="00E1256F"/>
    <w:rsid w:val="00E12C87"/>
    <w:rsid w:val="00E130D4"/>
    <w:rsid w:val="00E13AD7"/>
    <w:rsid w:val="00E13D04"/>
    <w:rsid w:val="00E1421C"/>
    <w:rsid w:val="00E1472E"/>
    <w:rsid w:val="00E148B0"/>
    <w:rsid w:val="00E1495E"/>
    <w:rsid w:val="00E14CF6"/>
    <w:rsid w:val="00E14E3C"/>
    <w:rsid w:val="00E15518"/>
    <w:rsid w:val="00E1578D"/>
    <w:rsid w:val="00E15838"/>
    <w:rsid w:val="00E15B12"/>
    <w:rsid w:val="00E15D1B"/>
    <w:rsid w:val="00E168EB"/>
    <w:rsid w:val="00E1692F"/>
    <w:rsid w:val="00E16E50"/>
    <w:rsid w:val="00E17AB3"/>
    <w:rsid w:val="00E20156"/>
    <w:rsid w:val="00E20FE9"/>
    <w:rsid w:val="00E2105C"/>
    <w:rsid w:val="00E21BD1"/>
    <w:rsid w:val="00E2204A"/>
    <w:rsid w:val="00E221C3"/>
    <w:rsid w:val="00E22A88"/>
    <w:rsid w:val="00E22B5F"/>
    <w:rsid w:val="00E238A4"/>
    <w:rsid w:val="00E23EB3"/>
    <w:rsid w:val="00E2426B"/>
    <w:rsid w:val="00E24AF8"/>
    <w:rsid w:val="00E24E82"/>
    <w:rsid w:val="00E25310"/>
    <w:rsid w:val="00E25341"/>
    <w:rsid w:val="00E25E89"/>
    <w:rsid w:val="00E267F1"/>
    <w:rsid w:val="00E27A6F"/>
    <w:rsid w:val="00E27D1F"/>
    <w:rsid w:val="00E30453"/>
    <w:rsid w:val="00E3095A"/>
    <w:rsid w:val="00E30B46"/>
    <w:rsid w:val="00E3149E"/>
    <w:rsid w:val="00E31501"/>
    <w:rsid w:val="00E31529"/>
    <w:rsid w:val="00E31B18"/>
    <w:rsid w:val="00E32C76"/>
    <w:rsid w:val="00E331CD"/>
    <w:rsid w:val="00E33489"/>
    <w:rsid w:val="00E33518"/>
    <w:rsid w:val="00E33C51"/>
    <w:rsid w:val="00E33DFA"/>
    <w:rsid w:val="00E34928"/>
    <w:rsid w:val="00E34D3A"/>
    <w:rsid w:val="00E34F32"/>
    <w:rsid w:val="00E351BC"/>
    <w:rsid w:val="00E35F7C"/>
    <w:rsid w:val="00E3603E"/>
    <w:rsid w:val="00E36456"/>
    <w:rsid w:val="00E36807"/>
    <w:rsid w:val="00E370CA"/>
    <w:rsid w:val="00E37634"/>
    <w:rsid w:val="00E377B6"/>
    <w:rsid w:val="00E37D91"/>
    <w:rsid w:val="00E37FED"/>
    <w:rsid w:val="00E40668"/>
    <w:rsid w:val="00E40672"/>
    <w:rsid w:val="00E40E06"/>
    <w:rsid w:val="00E415ED"/>
    <w:rsid w:val="00E42098"/>
    <w:rsid w:val="00E42885"/>
    <w:rsid w:val="00E42AD8"/>
    <w:rsid w:val="00E43834"/>
    <w:rsid w:val="00E43A43"/>
    <w:rsid w:val="00E43A65"/>
    <w:rsid w:val="00E44100"/>
    <w:rsid w:val="00E446E3"/>
    <w:rsid w:val="00E446E6"/>
    <w:rsid w:val="00E44980"/>
    <w:rsid w:val="00E44D70"/>
    <w:rsid w:val="00E459AE"/>
    <w:rsid w:val="00E45B0E"/>
    <w:rsid w:val="00E46A23"/>
    <w:rsid w:val="00E4711D"/>
    <w:rsid w:val="00E47453"/>
    <w:rsid w:val="00E47D98"/>
    <w:rsid w:val="00E50146"/>
    <w:rsid w:val="00E50D88"/>
    <w:rsid w:val="00E50F0D"/>
    <w:rsid w:val="00E5101E"/>
    <w:rsid w:val="00E51057"/>
    <w:rsid w:val="00E512FF"/>
    <w:rsid w:val="00E51410"/>
    <w:rsid w:val="00E51A65"/>
    <w:rsid w:val="00E51A85"/>
    <w:rsid w:val="00E51C4B"/>
    <w:rsid w:val="00E51C4F"/>
    <w:rsid w:val="00E51EFE"/>
    <w:rsid w:val="00E51F5C"/>
    <w:rsid w:val="00E521DA"/>
    <w:rsid w:val="00E522A2"/>
    <w:rsid w:val="00E53224"/>
    <w:rsid w:val="00E53269"/>
    <w:rsid w:val="00E53414"/>
    <w:rsid w:val="00E5363E"/>
    <w:rsid w:val="00E53881"/>
    <w:rsid w:val="00E5390F"/>
    <w:rsid w:val="00E541F3"/>
    <w:rsid w:val="00E546E5"/>
    <w:rsid w:val="00E54C85"/>
    <w:rsid w:val="00E5540A"/>
    <w:rsid w:val="00E55E23"/>
    <w:rsid w:val="00E55F76"/>
    <w:rsid w:val="00E56403"/>
    <w:rsid w:val="00E568A9"/>
    <w:rsid w:val="00E5698C"/>
    <w:rsid w:val="00E56D59"/>
    <w:rsid w:val="00E56F67"/>
    <w:rsid w:val="00E57187"/>
    <w:rsid w:val="00E57408"/>
    <w:rsid w:val="00E57983"/>
    <w:rsid w:val="00E57AD1"/>
    <w:rsid w:val="00E57D07"/>
    <w:rsid w:val="00E6004A"/>
    <w:rsid w:val="00E612B8"/>
    <w:rsid w:val="00E61689"/>
    <w:rsid w:val="00E61746"/>
    <w:rsid w:val="00E6233F"/>
    <w:rsid w:val="00E627CB"/>
    <w:rsid w:val="00E62A97"/>
    <w:rsid w:val="00E62EAC"/>
    <w:rsid w:val="00E642C7"/>
    <w:rsid w:val="00E6483B"/>
    <w:rsid w:val="00E64CF3"/>
    <w:rsid w:val="00E64E73"/>
    <w:rsid w:val="00E655DB"/>
    <w:rsid w:val="00E65823"/>
    <w:rsid w:val="00E65A1F"/>
    <w:rsid w:val="00E65E13"/>
    <w:rsid w:val="00E65EC5"/>
    <w:rsid w:val="00E660CA"/>
    <w:rsid w:val="00E66541"/>
    <w:rsid w:val="00E6679C"/>
    <w:rsid w:val="00E667F7"/>
    <w:rsid w:val="00E669F1"/>
    <w:rsid w:val="00E66FDC"/>
    <w:rsid w:val="00E67080"/>
    <w:rsid w:val="00E671E6"/>
    <w:rsid w:val="00E672A4"/>
    <w:rsid w:val="00E676CB"/>
    <w:rsid w:val="00E677C7"/>
    <w:rsid w:val="00E67EB4"/>
    <w:rsid w:val="00E67F3F"/>
    <w:rsid w:val="00E70224"/>
    <w:rsid w:val="00E7044E"/>
    <w:rsid w:val="00E704B9"/>
    <w:rsid w:val="00E70B5F"/>
    <w:rsid w:val="00E70D12"/>
    <w:rsid w:val="00E713CC"/>
    <w:rsid w:val="00E71634"/>
    <w:rsid w:val="00E71D28"/>
    <w:rsid w:val="00E72531"/>
    <w:rsid w:val="00E72A97"/>
    <w:rsid w:val="00E72BA3"/>
    <w:rsid w:val="00E72CBF"/>
    <w:rsid w:val="00E7300C"/>
    <w:rsid w:val="00E73073"/>
    <w:rsid w:val="00E7421C"/>
    <w:rsid w:val="00E74345"/>
    <w:rsid w:val="00E7470F"/>
    <w:rsid w:val="00E75385"/>
    <w:rsid w:val="00E759A5"/>
    <w:rsid w:val="00E761AF"/>
    <w:rsid w:val="00E76960"/>
    <w:rsid w:val="00E77287"/>
    <w:rsid w:val="00E77554"/>
    <w:rsid w:val="00E77594"/>
    <w:rsid w:val="00E77DF5"/>
    <w:rsid w:val="00E77E14"/>
    <w:rsid w:val="00E77E19"/>
    <w:rsid w:val="00E800D0"/>
    <w:rsid w:val="00E80151"/>
    <w:rsid w:val="00E801B5"/>
    <w:rsid w:val="00E81BEE"/>
    <w:rsid w:val="00E824C9"/>
    <w:rsid w:val="00E82630"/>
    <w:rsid w:val="00E828F4"/>
    <w:rsid w:val="00E82D4C"/>
    <w:rsid w:val="00E82DEC"/>
    <w:rsid w:val="00E839E6"/>
    <w:rsid w:val="00E83CF2"/>
    <w:rsid w:val="00E84019"/>
    <w:rsid w:val="00E84315"/>
    <w:rsid w:val="00E8508E"/>
    <w:rsid w:val="00E85168"/>
    <w:rsid w:val="00E85E90"/>
    <w:rsid w:val="00E867ED"/>
    <w:rsid w:val="00E86924"/>
    <w:rsid w:val="00E86A6B"/>
    <w:rsid w:val="00E86F01"/>
    <w:rsid w:val="00E86F79"/>
    <w:rsid w:val="00E87384"/>
    <w:rsid w:val="00E87653"/>
    <w:rsid w:val="00E87668"/>
    <w:rsid w:val="00E901A6"/>
    <w:rsid w:val="00E904CB"/>
    <w:rsid w:val="00E91647"/>
    <w:rsid w:val="00E9217F"/>
    <w:rsid w:val="00E925A4"/>
    <w:rsid w:val="00E926EB"/>
    <w:rsid w:val="00E929AD"/>
    <w:rsid w:val="00E9300E"/>
    <w:rsid w:val="00E93239"/>
    <w:rsid w:val="00E93A92"/>
    <w:rsid w:val="00E93ED8"/>
    <w:rsid w:val="00E93F73"/>
    <w:rsid w:val="00E94336"/>
    <w:rsid w:val="00E945A7"/>
    <w:rsid w:val="00E94A7E"/>
    <w:rsid w:val="00E94B04"/>
    <w:rsid w:val="00E94C3F"/>
    <w:rsid w:val="00E94EC5"/>
    <w:rsid w:val="00E95200"/>
    <w:rsid w:val="00E95BD4"/>
    <w:rsid w:val="00E9671D"/>
    <w:rsid w:val="00E96DF5"/>
    <w:rsid w:val="00E96E5C"/>
    <w:rsid w:val="00E96F29"/>
    <w:rsid w:val="00E97075"/>
    <w:rsid w:val="00E971AA"/>
    <w:rsid w:val="00E972F4"/>
    <w:rsid w:val="00E9759C"/>
    <w:rsid w:val="00E97739"/>
    <w:rsid w:val="00E97998"/>
    <w:rsid w:val="00E97EB5"/>
    <w:rsid w:val="00EA00BF"/>
    <w:rsid w:val="00EA01C9"/>
    <w:rsid w:val="00EA024D"/>
    <w:rsid w:val="00EA0C37"/>
    <w:rsid w:val="00EA0ED8"/>
    <w:rsid w:val="00EA16F2"/>
    <w:rsid w:val="00EA1942"/>
    <w:rsid w:val="00EA2216"/>
    <w:rsid w:val="00EA267E"/>
    <w:rsid w:val="00EA2855"/>
    <w:rsid w:val="00EA2E5A"/>
    <w:rsid w:val="00EA34E2"/>
    <w:rsid w:val="00EA37AC"/>
    <w:rsid w:val="00EA3C38"/>
    <w:rsid w:val="00EA451A"/>
    <w:rsid w:val="00EA45D1"/>
    <w:rsid w:val="00EA4CF2"/>
    <w:rsid w:val="00EA4E44"/>
    <w:rsid w:val="00EA5261"/>
    <w:rsid w:val="00EA5EFE"/>
    <w:rsid w:val="00EA5F2B"/>
    <w:rsid w:val="00EA5F2F"/>
    <w:rsid w:val="00EA63FA"/>
    <w:rsid w:val="00EA64BF"/>
    <w:rsid w:val="00EA6C55"/>
    <w:rsid w:val="00EA71EE"/>
    <w:rsid w:val="00EA7598"/>
    <w:rsid w:val="00EB0FF6"/>
    <w:rsid w:val="00EB1383"/>
    <w:rsid w:val="00EB1455"/>
    <w:rsid w:val="00EB14BF"/>
    <w:rsid w:val="00EB1DB6"/>
    <w:rsid w:val="00EB20F2"/>
    <w:rsid w:val="00EB29F1"/>
    <w:rsid w:val="00EB2C63"/>
    <w:rsid w:val="00EB2FB0"/>
    <w:rsid w:val="00EB3314"/>
    <w:rsid w:val="00EB3919"/>
    <w:rsid w:val="00EB3957"/>
    <w:rsid w:val="00EB3C2F"/>
    <w:rsid w:val="00EB4230"/>
    <w:rsid w:val="00EB435D"/>
    <w:rsid w:val="00EB4646"/>
    <w:rsid w:val="00EB4A4F"/>
    <w:rsid w:val="00EB4A79"/>
    <w:rsid w:val="00EB50B0"/>
    <w:rsid w:val="00EB53FC"/>
    <w:rsid w:val="00EB542C"/>
    <w:rsid w:val="00EB54D7"/>
    <w:rsid w:val="00EB557D"/>
    <w:rsid w:val="00EB56EF"/>
    <w:rsid w:val="00EB5DC8"/>
    <w:rsid w:val="00EB6353"/>
    <w:rsid w:val="00EB655F"/>
    <w:rsid w:val="00EB67AF"/>
    <w:rsid w:val="00EB6D74"/>
    <w:rsid w:val="00EB6FA5"/>
    <w:rsid w:val="00EB7178"/>
    <w:rsid w:val="00EB77A8"/>
    <w:rsid w:val="00EB77E8"/>
    <w:rsid w:val="00EC00A1"/>
    <w:rsid w:val="00EC0B75"/>
    <w:rsid w:val="00EC0C04"/>
    <w:rsid w:val="00EC1289"/>
    <w:rsid w:val="00EC13E6"/>
    <w:rsid w:val="00EC1BAD"/>
    <w:rsid w:val="00EC1BE2"/>
    <w:rsid w:val="00EC1DBD"/>
    <w:rsid w:val="00EC214A"/>
    <w:rsid w:val="00EC236D"/>
    <w:rsid w:val="00EC2B7B"/>
    <w:rsid w:val="00EC2E18"/>
    <w:rsid w:val="00EC36AF"/>
    <w:rsid w:val="00EC42AA"/>
    <w:rsid w:val="00EC44A5"/>
    <w:rsid w:val="00EC4A2B"/>
    <w:rsid w:val="00EC4B8E"/>
    <w:rsid w:val="00EC5249"/>
    <w:rsid w:val="00EC545D"/>
    <w:rsid w:val="00EC5F13"/>
    <w:rsid w:val="00EC6E85"/>
    <w:rsid w:val="00EC794A"/>
    <w:rsid w:val="00EC7A9D"/>
    <w:rsid w:val="00EC7CA4"/>
    <w:rsid w:val="00ED0374"/>
    <w:rsid w:val="00ED11DB"/>
    <w:rsid w:val="00ED19D8"/>
    <w:rsid w:val="00ED1B85"/>
    <w:rsid w:val="00ED227C"/>
    <w:rsid w:val="00ED3013"/>
    <w:rsid w:val="00ED32BC"/>
    <w:rsid w:val="00ED3C13"/>
    <w:rsid w:val="00ED3D61"/>
    <w:rsid w:val="00ED499E"/>
    <w:rsid w:val="00ED4C39"/>
    <w:rsid w:val="00ED4F05"/>
    <w:rsid w:val="00ED50F7"/>
    <w:rsid w:val="00ED5754"/>
    <w:rsid w:val="00ED5821"/>
    <w:rsid w:val="00ED5AF2"/>
    <w:rsid w:val="00ED5CE7"/>
    <w:rsid w:val="00ED5EFC"/>
    <w:rsid w:val="00ED63C2"/>
    <w:rsid w:val="00ED66CD"/>
    <w:rsid w:val="00ED67F9"/>
    <w:rsid w:val="00ED6914"/>
    <w:rsid w:val="00ED7343"/>
    <w:rsid w:val="00ED73E6"/>
    <w:rsid w:val="00ED7629"/>
    <w:rsid w:val="00ED7D7C"/>
    <w:rsid w:val="00EE0332"/>
    <w:rsid w:val="00EE09B9"/>
    <w:rsid w:val="00EE0A4F"/>
    <w:rsid w:val="00EE0B71"/>
    <w:rsid w:val="00EE1E48"/>
    <w:rsid w:val="00EE1FE0"/>
    <w:rsid w:val="00EE2019"/>
    <w:rsid w:val="00EE2130"/>
    <w:rsid w:val="00EE2304"/>
    <w:rsid w:val="00EE2355"/>
    <w:rsid w:val="00EE2AAF"/>
    <w:rsid w:val="00EE2CB8"/>
    <w:rsid w:val="00EE3BBB"/>
    <w:rsid w:val="00EE3FBD"/>
    <w:rsid w:val="00EE3FE4"/>
    <w:rsid w:val="00EE4463"/>
    <w:rsid w:val="00EE4613"/>
    <w:rsid w:val="00EE4AB7"/>
    <w:rsid w:val="00EE4E77"/>
    <w:rsid w:val="00EE5718"/>
    <w:rsid w:val="00EE5CFE"/>
    <w:rsid w:val="00EE630B"/>
    <w:rsid w:val="00EE641B"/>
    <w:rsid w:val="00EE6766"/>
    <w:rsid w:val="00EE68DB"/>
    <w:rsid w:val="00EE68FD"/>
    <w:rsid w:val="00EE6933"/>
    <w:rsid w:val="00EE6AAB"/>
    <w:rsid w:val="00EF06D5"/>
    <w:rsid w:val="00EF0BCA"/>
    <w:rsid w:val="00EF0DA0"/>
    <w:rsid w:val="00EF1382"/>
    <w:rsid w:val="00EF17D1"/>
    <w:rsid w:val="00EF1878"/>
    <w:rsid w:val="00EF1BF2"/>
    <w:rsid w:val="00EF1D76"/>
    <w:rsid w:val="00EF23E4"/>
    <w:rsid w:val="00EF27DA"/>
    <w:rsid w:val="00EF2B46"/>
    <w:rsid w:val="00EF2EE7"/>
    <w:rsid w:val="00EF3002"/>
    <w:rsid w:val="00EF3127"/>
    <w:rsid w:val="00EF3672"/>
    <w:rsid w:val="00EF37EC"/>
    <w:rsid w:val="00EF39FA"/>
    <w:rsid w:val="00EF3ECB"/>
    <w:rsid w:val="00EF409F"/>
    <w:rsid w:val="00EF421B"/>
    <w:rsid w:val="00EF58DE"/>
    <w:rsid w:val="00EF5ABA"/>
    <w:rsid w:val="00EF5F3E"/>
    <w:rsid w:val="00EF6609"/>
    <w:rsid w:val="00EF6FF1"/>
    <w:rsid w:val="00EF7ABB"/>
    <w:rsid w:val="00F00F47"/>
    <w:rsid w:val="00F00FFD"/>
    <w:rsid w:val="00F010F0"/>
    <w:rsid w:val="00F0171B"/>
    <w:rsid w:val="00F01893"/>
    <w:rsid w:val="00F018B5"/>
    <w:rsid w:val="00F019EF"/>
    <w:rsid w:val="00F01BF2"/>
    <w:rsid w:val="00F01C29"/>
    <w:rsid w:val="00F02A73"/>
    <w:rsid w:val="00F02BF3"/>
    <w:rsid w:val="00F02C85"/>
    <w:rsid w:val="00F0319F"/>
    <w:rsid w:val="00F034FE"/>
    <w:rsid w:val="00F03E2F"/>
    <w:rsid w:val="00F040B8"/>
    <w:rsid w:val="00F046A2"/>
    <w:rsid w:val="00F0499D"/>
    <w:rsid w:val="00F04A6A"/>
    <w:rsid w:val="00F04CAA"/>
    <w:rsid w:val="00F0501E"/>
    <w:rsid w:val="00F05B7D"/>
    <w:rsid w:val="00F05DFF"/>
    <w:rsid w:val="00F06118"/>
    <w:rsid w:val="00F070D1"/>
    <w:rsid w:val="00F071FE"/>
    <w:rsid w:val="00F0737E"/>
    <w:rsid w:val="00F07B96"/>
    <w:rsid w:val="00F07E63"/>
    <w:rsid w:val="00F07EED"/>
    <w:rsid w:val="00F10456"/>
    <w:rsid w:val="00F10B7C"/>
    <w:rsid w:val="00F10CF1"/>
    <w:rsid w:val="00F115BC"/>
    <w:rsid w:val="00F1200B"/>
    <w:rsid w:val="00F1259E"/>
    <w:rsid w:val="00F12702"/>
    <w:rsid w:val="00F12913"/>
    <w:rsid w:val="00F12CD3"/>
    <w:rsid w:val="00F133DF"/>
    <w:rsid w:val="00F1353E"/>
    <w:rsid w:val="00F136AF"/>
    <w:rsid w:val="00F13C81"/>
    <w:rsid w:val="00F141FE"/>
    <w:rsid w:val="00F14FC9"/>
    <w:rsid w:val="00F14FE4"/>
    <w:rsid w:val="00F15008"/>
    <w:rsid w:val="00F156A7"/>
    <w:rsid w:val="00F156AA"/>
    <w:rsid w:val="00F15C22"/>
    <w:rsid w:val="00F15F05"/>
    <w:rsid w:val="00F16125"/>
    <w:rsid w:val="00F1695C"/>
    <w:rsid w:val="00F17072"/>
    <w:rsid w:val="00F17074"/>
    <w:rsid w:val="00F17B51"/>
    <w:rsid w:val="00F20113"/>
    <w:rsid w:val="00F2047A"/>
    <w:rsid w:val="00F20750"/>
    <w:rsid w:val="00F2084F"/>
    <w:rsid w:val="00F20BBF"/>
    <w:rsid w:val="00F21062"/>
    <w:rsid w:val="00F2114F"/>
    <w:rsid w:val="00F2191F"/>
    <w:rsid w:val="00F22255"/>
    <w:rsid w:val="00F22ACF"/>
    <w:rsid w:val="00F2316F"/>
    <w:rsid w:val="00F23937"/>
    <w:rsid w:val="00F239D2"/>
    <w:rsid w:val="00F23AD1"/>
    <w:rsid w:val="00F24465"/>
    <w:rsid w:val="00F244BB"/>
    <w:rsid w:val="00F246F5"/>
    <w:rsid w:val="00F24AF6"/>
    <w:rsid w:val="00F24BAF"/>
    <w:rsid w:val="00F2560F"/>
    <w:rsid w:val="00F26009"/>
    <w:rsid w:val="00F26168"/>
    <w:rsid w:val="00F263C9"/>
    <w:rsid w:val="00F27121"/>
    <w:rsid w:val="00F2716B"/>
    <w:rsid w:val="00F2761E"/>
    <w:rsid w:val="00F27DDB"/>
    <w:rsid w:val="00F30552"/>
    <w:rsid w:val="00F305DD"/>
    <w:rsid w:val="00F307EA"/>
    <w:rsid w:val="00F3143E"/>
    <w:rsid w:val="00F32347"/>
    <w:rsid w:val="00F32565"/>
    <w:rsid w:val="00F326FC"/>
    <w:rsid w:val="00F32A14"/>
    <w:rsid w:val="00F32C6C"/>
    <w:rsid w:val="00F32CCB"/>
    <w:rsid w:val="00F32E70"/>
    <w:rsid w:val="00F330DD"/>
    <w:rsid w:val="00F3390C"/>
    <w:rsid w:val="00F33B39"/>
    <w:rsid w:val="00F348EF"/>
    <w:rsid w:val="00F352D3"/>
    <w:rsid w:val="00F353E4"/>
    <w:rsid w:val="00F35675"/>
    <w:rsid w:val="00F35751"/>
    <w:rsid w:val="00F3632F"/>
    <w:rsid w:val="00F36976"/>
    <w:rsid w:val="00F36A77"/>
    <w:rsid w:val="00F37555"/>
    <w:rsid w:val="00F37F89"/>
    <w:rsid w:val="00F40D02"/>
    <w:rsid w:val="00F413A5"/>
    <w:rsid w:val="00F41E27"/>
    <w:rsid w:val="00F422A9"/>
    <w:rsid w:val="00F42641"/>
    <w:rsid w:val="00F42BA9"/>
    <w:rsid w:val="00F43376"/>
    <w:rsid w:val="00F435CB"/>
    <w:rsid w:val="00F4365A"/>
    <w:rsid w:val="00F43995"/>
    <w:rsid w:val="00F43D26"/>
    <w:rsid w:val="00F441AA"/>
    <w:rsid w:val="00F44882"/>
    <w:rsid w:val="00F44E39"/>
    <w:rsid w:val="00F45C11"/>
    <w:rsid w:val="00F46229"/>
    <w:rsid w:val="00F4767F"/>
    <w:rsid w:val="00F477FB"/>
    <w:rsid w:val="00F477FE"/>
    <w:rsid w:val="00F4790D"/>
    <w:rsid w:val="00F47C17"/>
    <w:rsid w:val="00F50317"/>
    <w:rsid w:val="00F509DF"/>
    <w:rsid w:val="00F51368"/>
    <w:rsid w:val="00F51543"/>
    <w:rsid w:val="00F51988"/>
    <w:rsid w:val="00F51CD6"/>
    <w:rsid w:val="00F51D77"/>
    <w:rsid w:val="00F52DEE"/>
    <w:rsid w:val="00F53565"/>
    <w:rsid w:val="00F53C84"/>
    <w:rsid w:val="00F53E6A"/>
    <w:rsid w:val="00F53EDA"/>
    <w:rsid w:val="00F54010"/>
    <w:rsid w:val="00F54134"/>
    <w:rsid w:val="00F54216"/>
    <w:rsid w:val="00F5521E"/>
    <w:rsid w:val="00F553A1"/>
    <w:rsid w:val="00F55FE2"/>
    <w:rsid w:val="00F56E78"/>
    <w:rsid w:val="00F5704E"/>
    <w:rsid w:val="00F57558"/>
    <w:rsid w:val="00F57D8E"/>
    <w:rsid w:val="00F601A0"/>
    <w:rsid w:val="00F6046B"/>
    <w:rsid w:val="00F60564"/>
    <w:rsid w:val="00F60C0F"/>
    <w:rsid w:val="00F60CD9"/>
    <w:rsid w:val="00F60DFA"/>
    <w:rsid w:val="00F60E3B"/>
    <w:rsid w:val="00F61702"/>
    <w:rsid w:val="00F61749"/>
    <w:rsid w:val="00F61FDD"/>
    <w:rsid w:val="00F62BCE"/>
    <w:rsid w:val="00F63588"/>
    <w:rsid w:val="00F63DF2"/>
    <w:rsid w:val="00F641F5"/>
    <w:rsid w:val="00F6434C"/>
    <w:rsid w:val="00F6435E"/>
    <w:rsid w:val="00F64980"/>
    <w:rsid w:val="00F651D7"/>
    <w:rsid w:val="00F65710"/>
    <w:rsid w:val="00F6578D"/>
    <w:rsid w:val="00F65AA5"/>
    <w:rsid w:val="00F65B96"/>
    <w:rsid w:val="00F65CD4"/>
    <w:rsid w:val="00F660E7"/>
    <w:rsid w:val="00F660F7"/>
    <w:rsid w:val="00F6657A"/>
    <w:rsid w:val="00F667A3"/>
    <w:rsid w:val="00F66B74"/>
    <w:rsid w:val="00F67189"/>
    <w:rsid w:val="00F67470"/>
    <w:rsid w:val="00F67C04"/>
    <w:rsid w:val="00F70232"/>
    <w:rsid w:val="00F702D0"/>
    <w:rsid w:val="00F70460"/>
    <w:rsid w:val="00F70AFA"/>
    <w:rsid w:val="00F7189C"/>
    <w:rsid w:val="00F72A8E"/>
    <w:rsid w:val="00F73069"/>
    <w:rsid w:val="00F7371D"/>
    <w:rsid w:val="00F73DCF"/>
    <w:rsid w:val="00F7480E"/>
    <w:rsid w:val="00F748F9"/>
    <w:rsid w:val="00F74B41"/>
    <w:rsid w:val="00F74E28"/>
    <w:rsid w:val="00F74FAB"/>
    <w:rsid w:val="00F75B7B"/>
    <w:rsid w:val="00F762B1"/>
    <w:rsid w:val="00F76343"/>
    <w:rsid w:val="00F765CE"/>
    <w:rsid w:val="00F76BB2"/>
    <w:rsid w:val="00F76C98"/>
    <w:rsid w:val="00F7779D"/>
    <w:rsid w:val="00F77CB7"/>
    <w:rsid w:val="00F80248"/>
    <w:rsid w:val="00F803D5"/>
    <w:rsid w:val="00F803DE"/>
    <w:rsid w:val="00F8074B"/>
    <w:rsid w:val="00F80A00"/>
    <w:rsid w:val="00F80B98"/>
    <w:rsid w:val="00F80F66"/>
    <w:rsid w:val="00F80FC6"/>
    <w:rsid w:val="00F818AD"/>
    <w:rsid w:val="00F818DE"/>
    <w:rsid w:val="00F81D3B"/>
    <w:rsid w:val="00F828B4"/>
    <w:rsid w:val="00F82D9F"/>
    <w:rsid w:val="00F832E3"/>
    <w:rsid w:val="00F833D5"/>
    <w:rsid w:val="00F835F2"/>
    <w:rsid w:val="00F83711"/>
    <w:rsid w:val="00F83CCA"/>
    <w:rsid w:val="00F83DE7"/>
    <w:rsid w:val="00F83EC2"/>
    <w:rsid w:val="00F8444E"/>
    <w:rsid w:val="00F84FBD"/>
    <w:rsid w:val="00F851F5"/>
    <w:rsid w:val="00F85C17"/>
    <w:rsid w:val="00F85E1D"/>
    <w:rsid w:val="00F86033"/>
    <w:rsid w:val="00F86146"/>
    <w:rsid w:val="00F8642B"/>
    <w:rsid w:val="00F8781C"/>
    <w:rsid w:val="00F87A8E"/>
    <w:rsid w:val="00F9010A"/>
    <w:rsid w:val="00F90207"/>
    <w:rsid w:val="00F905B6"/>
    <w:rsid w:val="00F9087A"/>
    <w:rsid w:val="00F91C63"/>
    <w:rsid w:val="00F922C3"/>
    <w:rsid w:val="00F92631"/>
    <w:rsid w:val="00F929E0"/>
    <w:rsid w:val="00F92BFA"/>
    <w:rsid w:val="00F92C9C"/>
    <w:rsid w:val="00F93AE4"/>
    <w:rsid w:val="00F944D5"/>
    <w:rsid w:val="00F947F6"/>
    <w:rsid w:val="00F94F03"/>
    <w:rsid w:val="00F95C75"/>
    <w:rsid w:val="00F95D49"/>
    <w:rsid w:val="00F96497"/>
    <w:rsid w:val="00F9654F"/>
    <w:rsid w:val="00F9699D"/>
    <w:rsid w:val="00F96BEE"/>
    <w:rsid w:val="00F96D4E"/>
    <w:rsid w:val="00F96D5B"/>
    <w:rsid w:val="00F96DC2"/>
    <w:rsid w:val="00F97139"/>
    <w:rsid w:val="00F97664"/>
    <w:rsid w:val="00F9797E"/>
    <w:rsid w:val="00F97C4D"/>
    <w:rsid w:val="00F97D4C"/>
    <w:rsid w:val="00F97E04"/>
    <w:rsid w:val="00FA0640"/>
    <w:rsid w:val="00FA0967"/>
    <w:rsid w:val="00FA111A"/>
    <w:rsid w:val="00FA1C2A"/>
    <w:rsid w:val="00FA27C9"/>
    <w:rsid w:val="00FA2C65"/>
    <w:rsid w:val="00FA316F"/>
    <w:rsid w:val="00FA348B"/>
    <w:rsid w:val="00FA36FF"/>
    <w:rsid w:val="00FA44CB"/>
    <w:rsid w:val="00FA4937"/>
    <w:rsid w:val="00FA4B56"/>
    <w:rsid w:val="00FA4B9F"/>
    <w:rsid w:val="00FA4BAE"/>
    <w:rsid w:val="00FA4C7B"/>
    <w:rsid w:val="00FA4CC2"/>
    <w:rsid w:val="00FA5388"/>
    <w:rsid w:val="00FA5620"/>
    <w:rsid w:val="00FA58FB"/>
    <w:rsid w:val="00FA5AA7"/>
    <w:rsid w:val="00FA5B3E"/>
    <w:rsid w:val="00FA625C"/>
    <w:rsid w:val="00FA6368"/>
    <w:rsid w:val="00FA6D7D"/>
    <w:rsid w:val="00FA7DAF"/>
    <w:rsid w:val="00FA7F59"/>
    <w:rsid w:val="00FB05A6"/>
    <w:rsid w:val="00FB0707"/>
    <w:rsid w:val="00FB0810"/>
    <w:rsid w:val="00FB0967"/>
    <w:rsid w:val="00FB0A86"/>
    <w:rsid w:val="00FB1A35"/>
    <w:rsid w:val="00FB1EBF"/>
    <w:rsid w:val="00FB2218"/>
    <w:rsid w:val="00FB234A"/>
    <w:rsid w:val="00FB2B7E"/>
    <w:rsid w:val="00FB2BD0"/>
    <w:rsid w:val="00FB2D33"/>
    <w:rsid w:val="00FB311B"/>
    <w:rsid w:val="00FB325A"/>
    <w:rsid w:val="00FB3296"/>
    <w:rsid w:val="00FB3441"/>
    <w:rsid w:val="00FB406D"/>
    <w:rsid w:val="00FB4105"/>
    <w:rsid w:val="00FB42DD"/>
    <w:rsid w:val="00FB45AD"/>
    <w:rsid w:val="00FB467F"/>
    <w:rsid w:val="00FB4952"/>
    <w:rsid w:val="00FB5013"/>
    <w:rsid w:val="00FB5E94"/>
    <w:rsid w:val="00FB5EC8"/>
    <w:rsid w:val="00FB6647"/>
    <w:rsid w:val="00FB6931"/>
    <w:rsid w:val="00FB7692"/>
    <w:rsid w:val="00FB7715"/>
    <w:rsid w:val="00FB7B38"/>
    <w:rsid w:val="00FC1872"/>
    <w:rsid w:val="00FC1925"/>
    <w:rsid w:val="00FC1DC4"/>
    <w:rsid w:val="00FC299C"/>
    <w:rsid w:val="00FC36E2"/>
    <w:rsid w:val="00FC3BD4"/>
    <w:rsid w:val="00FC4285"/>
    <w:rsid w:val="00FC4849"/>
    <w:rsid w:val="00FC4C4A"/>
    <w:rsid w:val="00FC54DF"/>
    <w:rsid w:val="00FC5528"/>
    <w:rsid w:val="00FC5BD1"/>
    <w:rsid w:val="00FC7092"/>
    <w:rsid w:val="00FC7570"/>
    <w:rsid w:val="00FC758B"/>
    <w:rsid w:val="00FC7B3F"/>
    <w:rsid w:val="00FC7F7F"/>
    <w:rsid w:val="00FD0466"/>
    <w:rsid w:val="00FD05B9"/>
    <w:rsid w:val="00FD0E65"/>
    <w:rsid w:val="00FD1140"/>
    <w:rsid w:val="00FD12B3"/>
    <w:rsid w:val="00FD1950"/>
    <w:rsid w:val="00FD1C3B"/>
    <w:rsid w:val="00FD1CD6"/>
    <w:rsid w:val="00FD221E"/>
    <w:rsid w:val="00FD26A2"/>
    <w:rsid w:val="00FD2AAB"/>
    <w:rsid w:val="00FD2B92"/>
    <w:rsid w:val="00FD2C4C"/>
    <w:rsid w:val="00FD316F"/>
    <w:rsid w:val="00FD3FA8"/>
    <w:rsid w:val="00FD42B4"/>
    <w:rsid w:val="00FD445D"/>
    <w:rsid w:val="00FD4664"/>
    <w:rsid w:val="00FD4A0D"/>
    <w:rsid w:val="00FD4AE3"/>
    <w:rsid w:val="00FD55F7"/>
    <w:rsid w:val="00FD74F4"/>
    <w:rsid w:val="00FE0874"/>
    <w:rsid w:val="00FE099A"/>
    <w:rsid w:val="00FE0C3F"/>
    <w:rsid w:val="00FE0E17"/>
    <w:rsid w:val="00FE118E"/>
    <w:rsid w:val="00FE13BA"/>
    <w:rsid w:val="00FE16AE"/>
    <w:rsid w:val="00FE16D0"/>
    <w:rsid w:val="00FE1C65"/>
    <w:rsid w:val="00FE25F0"/>
    <w:rsid w:val="00FE39A4"/>
    <w:rsid w:val="00FE3AF9"/>
    <w:rsid w:val="00FE3D23"/>
    <w:rsid w:val="00FE3EA4"/>
    <w:rsid w:val="00FE4945"/>
    <w:rsid w:val="00FE4B99"/>
    <w:rsid w:val="00FE4C4E"/>
    <w:rsid w:val="00FE54DA"/>
    <w:rsid w:val="00FE5586"/>
    <w:rsid w:val="00FE5719"/>
    <w:rsid w:val="00FE6292"/>
    <w:rsid w:val="00FE699A"/>
    <w:rsid w:val="00FE6C33"/>
    <w:rsid w:val="00FE764D"/>
    <w:rsid w:val="00FE7923"/>
    <w:rsid w:val="00FE7AC9"/>
    <w:rsid w:val="00FE7B94"/>
    <w:rsid w:val="00FE7DB5"/>
    <w:rsid w:val="00FF015D"/>
    <w:rsid w:val="00FF0339"/>
    <w:rsid w:val="00FF03C5"/>
    <w:rsid w:val="00FF0AD7"/>
    <w:rsid w:val="00FF252B"/>
    <w:rsid w:val="00FF2677"/>
    <w:rsid w:val="00FF2687"/>
    <w:rsid w:val="00FF2693"/>
    <w:rsid w:val="00FF2E60"/>
    <w:rsid w:val="00FF36DF"/>
    <w:rsid w:val="00FF37FB"/>
    <w:rsid w:val="00FF3840"/>
    <w:rsid w:val="00FF49D9"/>
    <w:rsid w:val="00FF4CCA"/>
    <w:rsid w:val="00FF5329"/>
    <w:rsid w:val="00FF55CB"/>
    <w:rsid w:val="00FF5D27"/>
    <w:rsid w:val="00FF66C6"/>
    <w:rsid w:val="00FF66D8"/>
    <w:rsid w:val="00FF6B6B"/>
    <w:rsid w:val="00FF7637"/>
    <w:rsid w:val="00FF7834"/>
    <w:rsid w:val="00FF7C58"/>
    <w:rsid w:val="010B55E4"/>
    <w:rsid w:val="013810A2"/>
    <w:rsid w:val="013C371D"/>
    <w:rsid w:val="014F6858"/>
    <w:rsid w:val="01533FBF"/>
    <w:rsid w:val="01551D4C"/>
    <w:rsid w:val="015E5DCC"/>
    <w:rsid w:val="01681992"/>
    <w:rsid w:val="01860434"/>
    <w:rsid w:val="018940ED"/>
    <w:rsid w:val="019873F9"/>
    <w:rsid w:val="019B1096"/>
    <w:rsid w:val="01B94AB0"/>
    <w:rsid w:val="01CF3B96"/>
    <w:rsid w:val="01DB5018"/>
    <w:rsid w:val="01E544E4"/>
    <w:rsid w:val="01F063CB"/>
    <w:rsid w:val="02197D2C"/>
    <w:rsid w:val="02397348"/>
    <w:rsid w:val="024A3268"/>
    <w:rsid w:val="024B060C"/>
    <w:rsid w:val="024B2ED7"/>
    <w:rsid w:val="02553AC9"/>
    <w:rsid w:val="02854AEF"/>
    <w:rsid w:val="029F0F02"/>
    <w:rsid w:val="02B10927"/>
    <w:rsid w:val="02B20FCC"/>
    <w:rsid w:val="02BB726D"/>
    <w:rsid w:val="02E33AB5"/>
    <w:rsid w:val="02ED7958"/>
    <w:rsid w:val="02F54C81"/>
    <w:rsid w:val="032514CE"/>
    <w:rsid w:val="032A55C2"/>
    <w:rsid w:val="03576D37"/>
    <w:rsid w:val="038171A1"/>
    <w:rsid w:val="03882458"/>
    <w:rsid w:val="038B1C6A"/>
    <w:rsid w:val="039F4C5B"/>
    <w:rsid w:val="03A072F5"/>
    <w:rsid w:val="03A6612C"/>
    <w:rsid w:val="03BB6A24"/>
    <w:rsid w:val="03BC1D44"/>
    <w:rsid w:val="03D46CE5"/>
    <w:rsid w:val="03DE70DB"/>
    <w:rsid w:val="03E161FE"/>
    <w:rsid w:val="03E16862"/>
    <w:rsid w:val="03EB4973"/>
    <w:rsid w:val="03F45E26"/>
    <w:rsid w:val="03FC51D3"/>
    <w:rsid w:val="03FE42CB"/>
    <w:rsid w:val="04090D29"/>
    <w:rsid w:val="04180F6C"/>
    <w:rsid w:val="041E1C39"/>
    <w:rsid w:val="04233EE2"/>
    <w:rsid w:val="042C55B7"/>
    <w:rsid w:val="043E1B23"/>
    <w:rsid w:val="044057C4"/>
    <w:rsid w:val="045054D1"/>
    <w:rsid w:val="04981F79"/>
    <w:rsid w:val="04B25896"/>
    <w:rsid w:val="04B62493"/>
    <w:rsid w:val="04C634C5"/>
    <w:rsid w:val="04C92330"/>
    <w:rsid w:val="04D94351"/>
    <w:rsid w:val="04ED0243"/>
    <w:rsid w:val="05121E5F"/>
    <w:rsid w:val="051A3DD6"/>
    <w:rsid w:val="052F3F21"/>
    <w:rsid w:val="05495DA7"/>
    <w:rsid w:val="054C61EE"/>
    <w:rsid w:val="05505F7A"/>
    <w:rsid w:val="056401E1"/>
    <w:rsid w:val="056963FD"/>
    <w:rsid w:val="057871AD"/>
    <w:rsid w:val="057B2147"/>
    <w:rsid w:val="057C53D4"/>
    <w:rsid w:val="058E3A70"/>
    <w:rsid w:val="05B80082"/>
    <w:rsid w:val="05B8437C"/>
    <w:rsid w:val="05C1798D"/>
    <w:rsid w:val="05D44BD3"/>
    <w:rsid w:val="05DE59A4"/>
    <w:rsid w:val="05E4538D"/>
    <w:rsid w:val="05FF6428"/>
    <w:rsid w:val="061020EB"/>
    <w:rsid w:val="06165CFC"/>
    <w:rsid w:val="061811F1"/>
    <w:rsid w:val="06187548"/>
    <w:rsid w:val="06231AEE"/>
    <w:rsid w:val="06296254"/>
    <w:rsid w:val="064D6617"/>
    <w:rsid w:val="064F2C3F"/>
    <w:rsid w:val="06636700"/>
    <w:rsid w:val="06824FED"/>
    <w:rsid w:val="0692768C"/>
    <w:rsid w:val="069E6136"/>
    <w:rsid w:val="06B55209"/>
    <w:rsid w:val="06B664AC"/>
    <w:rsid w:val="06C252C6"/>
    <w:rsid w:val="06E20C77"/>
    <w:rsid w:val="06E24825"/>
    <w:rsid w:val="06E26FA7"/>
    <w:rsid w:val="06E5270F"/>
    <w:rsid w:val="06F875CE"/>
    <w:rsid w:val="06FC7B1B"/>
    <w:rsid w:val="070740F4"/>
    <w:rsid w:val="070A1B99"/>
    <w:rsid w:val="0717224F"/>
    <w:rsid w:val="072233D4"/>
    <w:rsid w:val="07231C3D"/>
    <w:rsid w:val="07314346"/>
    <w:rsid w:val="07445737"/>
    <w:rsid w:val="07476D50"/>
    <w:rsid w:val="074D231F"/>
    <w:rsid w:val="075669BE"/>
    <w:rsid w:val="075C3B86"/>
    <w:rsid w:val="076752F1"/>
    <w:rsid w:val="076F3C4A"/>
    <w:rsid w:val="07852976"/>
    <w:rsid w:val="079A21BD"/>
    <w:rsid w:val="079C6E54"/>
    <w:rsid w:val="07A9751A"/>
    <w:rsid w:val="07AF322F"/>
    <w:rsid w:val="07B85F70"/>
    <w:rsid w:val="07E72D82"/>
    <w:rsid w:val="07FA5178"/>
    <w:rsid w:val="08010770"/>
    <w:rsid w:val="080F2EBC"/>
    <w:rsid w:val="08102D85"/>
    <w:rsid w:val="082223BA"/>
    <w:rsid w:val="082E71BF"/>
    <w:rsid w:val="08321EB4"/>
    <w:rsid w:val="083C79E9"/>
    <w:rsid w:val="083D2E6F"/>
    <w:rsid w:val="08566B8A"/>
    <w:rsid w:val="08623C99"/>
    <w:rsid w:val="08647987"/>
    <w:rsid w:val="08793F1D"/>
    <w:rsid w:val="087D0C50"/>
    <w:rsid w:val="08891DE6"/>
    <w:rsid w:val="08A2799E"/>
    <w:rsid w:val="08BB3AF6"/>
    <w:rsid w:val="08F14191"/>
    <w:rsid w:val="08FC77E1"/>
    <w:rsid w:val="08FF229C"/>
    <w:rsid w:val="09034C31"/>
    <w:rsid w:val="09055F84"/>
    <w:rsid w:val="09095742"/>
    <w:rsid w:val="09380368"/>
    <w:rsid w:val="094622B3"/>
    <w:rsid w:val="094A4A40"/>
    <w:rsid w:val="094D3731"/>
    <w:rsid w:val="094D71B9"/>
    <w:rsid w:val="0961453C"/>
    <w:rsid w:val="09794B00"/>
    <w:rsid w:val="09796D39"/>
    <w:rsid w:val="09815EC8"/>
    <w:rsid w:val="09AD7870"/>
    <w:rsid w:val="09B373C0"/>
    <w:rsid w:val="09B74D83"/>
    <w:rsid w:val="09BE25B6"/>
    <w:rsid w:val="09CA568F"/>
    <w:rsid w:val="09DF6B4E"/>
    <w:rsid w:val="09ED15E3"/>
    <w:rsid w:val="09EE79C3"/>
    <w:rsid w:val="09F54C53"/>
    <w:rsid w:val="0A00703C"/>
    <w:rsid w:val="0A10478E"/>
    <w:rsid w:val="0A484391"/>
    <w:rsid w:val="0A590946"/>
    <w:rsid w:val="0A5B22B0"/>
    <w:rsid w:val="0A737948"/>
    <w:rsid w:val="0A7D1BC1"/>
    <w:rsid w:val="0A8D6560"/>
    <w:rsid w:val="0A9158C8"/>
    <w:rsid w:val="0A9E5B9D"/>
    <w:rsid w:val="0A9F1472"/>
    <w:rsid w:val="0AAD21D1"/>
    <w:rsid w:val="0AB731E2"/>
    <w:rsid w:val="0AC26E49"/>
    <w:rsid w:val="0AC34E90"/>
    <w:rsid w:val="0ACE145B"/>
    <w:rsid w:val="0AD34403"/>
    <w:rsid w:val="0AD93AAB"/>
    <w:rsid w:val="0ADC5B72"/>
    <w:rsid w:val="0ADE57CD"/>
    <w:rsid w:val="0AE0783B"/>
    <w:rsid w:val="0AE17888"/>
    <w:rsid w:val="0AE613F7"/>
    <w:rsid w:val="0AF21165"/>
    <w:rsid w:val="0B0657F9"/>
    <w:rsid w:val="0B0D5797"/>
    <w:rsid w:val="0B1C14EB"/>
    <w:rsid w:val="0B202517"/>
    <w:rsid w:val="0B20528C"/>
    <w:rsid w:val="0B272D77"/>
    <w:rsid w:val="0B500B0A"/>
    <w:rsid w:val="0B54237D"/>
    <w:rsid w:val="0B5C57D3"/>
    <w:rsid w:val="0B5C76AB"/>
    <w:rsid w:val="0B5D195B"/>
    <w:rsid w:val="0B666A61"/>
    <w:rsid w:val="0B6869C6"/>
    <w:rsid w:val="0B6962BA"/>
    <w:rsid w:val="0B775B8A"/>
    <w:rsid w:val="0B856D9F"/>
    <w:rsid w:val="0B877CE0"/>
    <w:rsid w:val="0BA5229D"/>
    <w:rsid w:val="0BA83464"/>
    <w:rsid w:val="0BD742D8"/>
    <w:rsid w:val="0BEB1AF6"/>
    <w:rsid w:val="0BF26547"/>
    <w:rsid w:val="0BF92244"/>
    <w:rsid w:val="0C2566EA"/>
    <w:rsid w:val="0C2D1104"/>
    <w:rsid w:val="0C471FC9"/>
    <w:rsid w:val="0C802192"/>
    <w:rsid w:val="0C834BFB"/>
    <w:rsid w:val="0CC65B11"/>
    <w:rsid w:val="0CD4597D"/>
    <w:rsid w:val="0CD73059"/>
    <w:rsid w:val="0CE2666E"/>
    <w:rsid w:val="0CF630BC"/>
    <w:rsid w:val="0CFB4B6C"/>
    <w:rsid w:val="0D074B6E"/>
    <w:rsid w:val="0D083390"/>
    <w:rsid w:val="0D09328A"/>
    <w:rsid w:val="0D093926"/>
    <w:rsid w:val="0D165CFE"/>
    <w:rsid w:val="0D2666EB"/>
    <w:rsid w:val="0D3E7430"/>
    <w:rsid w:val="0D53048B"/>
    <w:rsid w:val="0D564F20"/>
    <w:rsid w:val="0D6933CA"/>
    <w:rsid w:val="0D6B20F2"/>
    <w:rsid w:val="0D7B400F"/>
    <w:rsid w:val="0D946F28"/>
    <w:rsid w:val="0DA970D9"/>
    <w:rsid w:val="0DB45027"/>
    <w:rsid w:val="0DB93DF3"/>
    <w:rsid w:val="0DC13F83"/>
    <w:rsid w:val="0DC72BC0"/>
    <w:rsid w:val="0DD44C3F"/>
    <w:rsid w:val="0DD72AE4"/>
    <w:rsid w:val="0DDB3EE0"/>
    <w:rsid w:val="0E03648F"/>
    <w:rsid w:val="0E0C29D8"/>
    <w:rsid w:val="0E2B6921"/>
    <w:rsid w:val="0E370FA0"/>
    <w:rsid w:val="0E3A709F"/>
    <w:rsid w:val="0E3D6411"/>
    <w:rsid w:val="0E5B4729"/>
    <w:rsid w:val="0E633455"/>
    <w:rsid w:val="0E6D3F5E"/>
    <w:rsid w:val="0E6E4AF5"/>
    <w:rsid w:val="0E6F7C07"/>
    <w:rsid w:val="0E70510E"/>
    <w:rsid w:val="0E73085A"/>
    <w:rsid w:val="0E7832A8"/>
    <w:rsid w:val="0E811A4F"/>
    <w:rsid w:val="0E84598B"/>
    <w:rsid w:val="0E8A716F"/>
    <w:rsid w:val="0E9331CB"/>
    <w:rsid w:val="0E9E0E84"/>
    <w:rsid w:val="0EA8743E"/>
    <w:rsid w:val="0EAD19C0"/>
    <w:rsid w:val="0EB60076"/>
    <w:rsid w:val="0EC669F2"/>
    <w:rsid w:val="0EDE2FF7"/>
    <w:rsid w:val="0EE5116F"/>
    <w:rsid w:val="0EFF26AA"/>
    <w:rsid w:val="0F0526A1"/>
    <w:rsid w:val="0F1623CD"/>
    <w:rsid w:val="0F1B1EF8"/>
    <w:rsid w:val="0F1D7D7F"/>
    <w:rsid w:val="0F20786F"/>
    <w:rsid w:val="0F271FA1"/>
    <w:rsid w:val="0F350C1B"/>
    <w:rsid w:val="0F35123A"/>
    <w:rsid w:val="0F426F1D"/>
    <w:rsid w:val="0F507730"/>
    <w:rsid w:val="0F51560A"/>
    <w:rsid w:val="0F5A3694"/>
    <w:rsid w:val="0F660133"/>
    <w:rsid w:val="0FA41FE0"/>
    <w:rsid w:val="0FA952A7"/>
    <w:rsid w:val="0FB25612"/>
    <w:rsid w:val="0FDA4E87"/>
    <w:rsid w:val="0FDD5A19"/>
    <w:rsid w:val="0FE07BBF"/>
    <w:rsid w:val="0FEF1A61"/>
    <w:rsid w:val="10121704"/>
    <w:rsid w:val="101666A7"/>
    <w:rsid w:val="10237822"/>
    <w:rsid w:val="102515A5"/>
    <w:rsid w:val="10255EF6"/>
    <w:rsid w:val="102A7847"/>
    <w:rsid w:val="10381BB3"/>
    <w:rsid w:val="104A479F"/>
    <w:rsid w:val="10701F3F"/>
    <w:rsid w:val="1074461B"/>
    <w:rsid w:val="10745954"/>
    <w:rsid w:val="10914151"/>
    <w:rsid w:val="109150BD"/>
    <w:rsid w:val="10BB6FA7"/>
    <w:rsid w:val="10C0484A"/>
    <w:rsid w:val="10D372CA"/>
    <w:rsid w:val="10E161B3"/>
    <w:rsid w:val="10F66B17"/>
    <w:rsid w:val="110C29D9"/>
    <w:rsid w:val="11140D0D"/>
    <w:rsid w:val="11282119"/>
    <w:rsid w:val="112904E8"/>
    <w:rsid w:val="1154637E"/>
    <w:rsid w:val="115B06EA"/>
    <w:rsid w:val="117B416E"/>
    <w:rsid w:val="11A536C5"/>
    <w:rsid w:val="11AC5BA5"/>
    <w:rsid w:val="11B275F3"/>
    <w:rsid w:val="11B414C0"/>
    <w:rsid w:val="11B715C0"/>
    <w:rsid w:val="11CB23DA"/>
    <w:rsid w:val="11D830C6"/>
    <w:rsid w:val="11D97081"/>
    <w:rsid w:val="11E225D5"/>
    <w:rsid w:val="11E33B71"/>
    <w:rsid w:val="11ED282B"/>
    <w:rsid w:val="11F0402E"/>
    <w:rsid w:val="11F235C4"/>
    <w:rsid w:val="11FF5069"/>
    <w:rsid w:val="12035EBA"/>
    <w:rsid w:val="12093D9C"/>
    <w:rsid w:val="120B2F4C"/>
    <w:rsid w:val="1213093E"/>
    <w:rsid w:val="121560C5"/>
    <w:rsid w:val="121A2E42"/>
    <w:rsid w:val="12297C8A"/>
    <w:rsid w:val="123553DF"/>
    <w:rsid w:val="12374CB3"/>
    <w:rsid w:val="123765BF"/>
    <w:rsid w:val="124B7621"/>
    <w:rsid w:val="12576E4B"/>
    <w:rsid w:val="1274205E"/>
    <w:rsid w:val="12763BAF"/>
    <w:rsid w:val="127F41FB"/>
    <w:rsid w:val="12802AFE"/>
    <w:rsid w:val="128D756C"/>
    <w:rsid w:val="12981B20"/>
    <w:rsid w:val="12997E9F"/>
    <w:rsid w:val="12AF5401"/>
    <w:rsid w:val="12B8475A"/>
    <w:rsid w:val="12BC6ED5"/>
    <w:rsid w:val="12C046B7"/>
    <w:rsid w:val="12D20100"/>
    <w:rsid w:val="12D554F2"/>
    <w:rsid w:val="12DA521A"/>
    <w:rsid w:val="12EA78A1"/>
    <w:rsid w:val="12F03721"/>
    <w:rsid w:val="12FE2A84"/>
    <w:rsid w:val="12FF75FF"/>
    <w:rsid w:val="130255E1"/>
    <w:rsid w:val="130E4EBE"/>
    <w:rsid w:val="131266CD"/>
    <w:rsid w:val="13227A78"/>
    <w:rsid w:val="13542908"/>
    <w:rsid w:val="13545D54"/>
    <w:rsid w:val="13555CCB"/>
    <w:rsid w:val="136C6BF8"/>
    <w:rsid w:val="13C40655"/>
    <w:rsid w:val="13DB3D64"/>
    <w:rsid w:val="13E34077"/>
    <w:rsid w:val="13EA6FB8"/>
    <w:rsid w:val="13F53078"/>
    <w:rsid w:val="13FD5DDA"/>
    <w:rsid w:val="13FE3660"/>
    <w:rsid w:val="14067337"/>
    <w:rsid w:val="14105AD5"/>
    <w:rsid w:val="14283DA8"/>
    <w:rsid w:val="142A7AC5"/>
    <w:rsid w:val="142D2D55"/>
    <w:rsid w:val="14376DE0"/>
    <w:rsid w:val="143E43BC"/>
    <w:rsid w:val="14512AE0"/>
    <w:rsid w:val="14575282"/>
    <w:rsid w:val="14703DB8"/>
    <w:rsid w:val="14775ED9"/>
    <w:rsid w:val="14865B47"/>
    <w:rsid w:val="148968C6"/>
    <w:rsid w:val="148F163B"/>
    <w:rsid w:val="148F7CF6"/>
    <w:rsid w:val="1491148E"/>
    <w:rsid w:val="14AA2870"/>
    <w:rsid w:val="14B42DB3"/>
    <w:rsid w:val="14C56C0F"/>
    <w:rsid w:val="14CD5AC9"/>
    <w:rsid w:val="14CD7CA4"/>
    <w:rsid w:val="14D058B4"/>
    <w:rsid w:val="14D83EAE"/>
    <w:rsid w:val="14D93E1A"/>
    <w:rsid w:val="14DF01D6"/>
    <w:rsid w:val="14E1184E"/>
    <w:rsid w:val="14F150F2"/>
    <w:rsid w:val="14FF6D48"/>
    <w:rsid w:val="150208C8"/>
    <w:rsid w:val="15052D04"/>
    <w:rsid w:val="15067B08"/>
    <w:rsid w:val="151E56F6"/>
    <w:rsid w:val="151F1009"/>
    <w:rsid w:val="152A1C54"/>
    <w:rsid w:val="15331AFE"/>
    <w:rsid w:val="154A73F4"/>
    <w:rsid w:val="155D0008"/>
    <w:rsid w:val="15847C9D"/>
    <w:rsid w:val="159C41B9"/>
    <w:rsid w:val="159D4DF8"/>
    <w:rsid w:val="15AE6EC5"/>
    <w:rsid w:val="15B0749F"/>
    <w:rsid w:val="15B40FC5"/>
    <w:rsid w:val="15BA2C8F"/>
    <w:rsid w:val="15D138F7"/>
    <w:rsid w:val="15DA4667"/>
    <w:rsid w:val="15F2486C"/>
    <w:rsid w:val="15F263B1"/>
    <w:rsid w:val="15FC6392"/>
    <w:rsid w:val="160330DB"/>
    <w:rsid w:val="16134CF1"/>
    <w:rsid w:val="161471C6"/>
    <w:rsid w:val="16192065"/>
    <w:rsid w:val="16292554"/>
    <w:rsid w:val="162B2227"/>
    <w:rsid w:val="163A3DB4"/>
    <w:rsid w:val="1640145C"/>
    <w:rsid w:val="164C10B6"/>
    <w:rsid w:val="16774CD9"/>
    <w:rsid w:val="167D3C8E"/>
    <w:rsid w:val="168F1E29"/>
    <w:rsid w:val="16A134A9"/>
    <w:rsid w:val="16A73FF4"/>
    <w:rsid w:val="16A93945"/>
    <w:rsid w:val="16AD0905"/>
    <w:rsid w:val="16D534A9"/>
    <w:rsid w:val="16DD3841"/>
    <w:rsid w:val="16F111DF"/>
    <w:rsid w:val="17084C74"/>
    <w:rsid w:val="171C6161"/>
    <w:rsid w:val="1720498C"/>
    <w:rsid w:val="17266DA3"/>
    <w:rsid w:val="172828A7"/>
    <w:rsid w:val="17335E4F"/>
    <w:rsid w:val="173B0895"/>
    <w:rsid w:val="173B0E9F"/>
    <w:rsid w:val="173C574E"/>
    <w:rsid w:val="173F1054"/>
    <w:rsid w:val="175406CC"/>
    <w:rsid w:val="175E71E6"/>
    <w:rsid w:val="176221BA"/>
    <w:rsid w:val="1763361D"/>
    <w:rsid w:val="176E7CE5"/>
    <w:rsid w:val="17735524"/>
    <w:rsid w:val="177717AD"/>
    <w:rsid w:val="177918A1"/>
    <w:rsid w:val="17792037"/>
    <w:rsid w:val="177E1968"/>
    <w:rsid w:val="178C7FD7"/>
    <w:rsid w:val="17926D7F"/>
    <w:rsid w:val="17927993"/>
    <w:rsid w:val="17A76850"/>
    <w:rsid w:val="17A91B24"/>
    <w:rsid w:val="17BD4697"/>
    <w:rsid w:val="17CA30AA"/>
    <w:rsid w:val="17D517D0"/>
    <w:rsid w:val="17E047B7"/>
    <w:rsid w:val="17EE51DA"/>
    <w:rsid w:val="17F74518"/>
    <w:rsid w:val="18081AFD"/>
    <w:rsid w:val="18235DFE"/>
    <w:rsid w:val="182D3E9F"/>
    <w:rsid w:val="18445338"/>
    <w:rsid w:val="18635216"/>
    <w:rsid w:val="189016CF"/>
    <w:rsid w:val="18916315"/>
    <w:rsid w:val="189F6E70"/>
    <w:rsid w:val="18B95328"/>
    <w:rsid w:val="18BC75E1"/>
    <w:rsid w:val="18BD2666"/>
    <w:rsid w:val="18CE3544"/>
    <w:rsid w:val="18CF2036"/>
    <w:rsid w:val="18EF73C4"/>
    <w:rsid w:val="18F311A8"/>
    <w:rsid w:val="18FC017A"/>
    <w:rsid w:val="18FD1973"/>
    <w:rsid w:val="19011DD1"/>
    <w:rsid w:val="19214D6C"/>
    <w:rsid w:val="1922105B"/>
    <w:rsid w:val="192835A8"/>
    <w:rsid w:val="19391E43"/>
    <w:rsid w:val="193D6DB3"/>
    <w:rsid w:val="194B23CE"/>
    <w:rsid w:val="1954050A"/>
    <w:rsid w:val="19574472"/>
    <w:rsid w:val="195F0CCC"/>
    <w:rsid w:val="1968798C"/>
    <w:rsid w:val="196D3BBF"/>
    <w:rsid w:val="19705842"/>
    <w:rsid w:val="197060E9"/>
    <w:rsid w:val="19760713"/>
    <w:rsid w:val="19854D72"/>
    <w:rsid w:val="1986540C"/>
    <w:rsid w:val="198665C8"/>
    <w:rsid w:val="198E3E1F"/>
    <w:rsid w:val="19914D9C"/>
    <w:rsid w:val="199303E0"/>
    <w:rsid w:val="199A6F1C"/>
    <w:rsid w:val="19A356E6"/>
    <w:rsid w:val="19AE06D1"/>
    <w:rsid w:val="19AE43F7"/>
    <w:rsid w:val="19B119F5"/>
    <w:rsid w:val="19B54875"/>
    <w:rsid w:val="19B751C9"/>
    <w:rsid w:val="19C0695A"/>
    <w:rsid w:val="19D05FF5"/>
    <w:rsid w:val="19E27D08"/>
    <w:rsid w:val="19E46693"/>
    <w:rsid w:val="1A0D429E"/>
    <w:rsid w:val="1A0D62D4"/>
    <w:rsid w:val="1A177FA9"/>
    <w:rsid w:val="1A215160"/>
    <w:rsid w:val="1A2153C8"/>
    <w:rsid w:val="1A277D03"/>
    <w:rsid w:val="1A282188"/>
    <w:rsid w:val="1A316293"/>
    <w:rsid w:val="1A3A0A37"/>
    <w:rsid w:val="1A3D17A1"/>
    <w:rsid w:val="1A3E4EDC"/>
    <w:rsid w:val="1A682E5B"/>
    <w:rsid w:val="1A6B7379"/>
    <w:rsid w:val="1A751514"/>
    <w:rsid w:val="1A762715"/>
    <w:rsid w:val="1A7B4EC8"/>
    <w:rsid w:val="1AA62E37"/>
    <w:rsid w:val="1AAA2846"/>
    <w:rsid w:val="1AB96CB3"/>
    <w:rsid w:val="1ABD51A0"/>
    <w:rsid w:val="1AC62DE0"/>
    <w:rsid w:val="1ACC7AC5"/>
    <w:rsid w:val="1AD21AE6"/>
    <w:rsid w:val="1AE44045"/>
    <w:rsid w:val="1AF019C3"/>
    <w:rsid w:val="1AFC5C92"/>
    <w:rsid w:val="1B162DAC"/>
    <w:rsid w:val="1B25552C"/>
    <w:rsid w:val="1B4E336B"/>
    <w:rsid w:val="1B5C6761"/>
    <w:rsid w:val="1B6544F7"/>
    <w:rsid w:val="1B7D7534"/>
    <w:rsid w:val="1B854CE1"/>
    <w:rsid w:val="1B8919B6"/>
    <w:rsid w:val="1B9E04A9"/>
    <w:rsid w:val="1BBE57C2"/>
    <w:rsid w:val="1BC7079E"/>
    <w:rsid w:val="1BDC0AAD"/>
    <w:rsid w:val="1BEC7706"/>
    <w:rsid w:val="1C164536"/>
    <w:rsid w:val="1C235ABB"/>
    <w:rsid w:val="1C505E01"/>
    <w:rsid w:val="1C6D738B"/>
    <w:rsid w:val="1C7C426A"/>
    <w:rsid w:val="1C86134C"/>
    <w:rsid w:val="1C8B52B6"/>
    <w:rsid w:val="1C995B41"/>
    <w:rsid w:val="1CB1016E"/>
    <w:rsid w:val="1CC14322"/>
    <w:rsid w:val="1CDA2F64"/>
    <w:rsid w:val="1CE94138"/>
    <w:rsid w:val="1CF06FFA"/>
    <w:rsid w:val="1CF77E61"/>
    <w:rsid w:val="1D191F87"/>
    <w:rsid w:val="1D193A9A"/>
    <w:rsid w:val="1D1C5839"/>
    <w:rsid w:val="1D2E2FBB"/>
    <w:rsid w:val="1D2E40EE"/>
    <w:rsid w:val="1D2E59DC"/>
    <w:rsid w:val="1D464A14"/>
    <w:rsid w:val="1D5F0C81"/>
    <w:rsid w:val="1D6A4654"/>
    <w:rsid w:val="1D7A11D0"/>
    <w:rsid w:val="1D8D157F"/>
    <w:rsid w:val="1D8D2EE1"/>
    <w:rsid w:val="1DB36EAC"/>
    <w:rsid w:val="1DD118C6"/>
    <w:rsid w:val="1DE23626"/>
    <w:rsid w:val="1DED7F79"/>
    <w:rsid w:val="1E0604A3"/>
    <w:rsid w:val="1E06753F"/>
    <w:rsid w:val="1E236A34"/>
    <w:rsid w:val="1E2905BB"/>
    <w:rsid w:val="1E4205E7"/>
    <w:rsid w:val="1E500FA0"/>
    <w:rsid w:val="1E531EC2"/>
    <w:rsid w:val="1E5C3C9D"/>
    <w:rsid w:val="1E68027A"/>
    <w:rsid w:val="1E6F3848"/>
    <w:rsid w:val="1E7671C5"/>
    <w:rsid w:val="1E7F17A2"/>
    <w:rsid w:val="1E7F183A"/>
    <w:rsid w:val="1E816553"/>
    <w:rsid w:val="1E96206F"/>
    <w:rsid w:val="1EA11F2A"/>
    <w:rsid w:val="1EA32E1F"/>
    <w:rsid w:val="1EAE5CF8"/>
    <w:rsid w:val="1EB06983"/>
    <w:rsid w:val="1EC120FD"/>
    <w:rsid w:val="1EC652E8"/>
    <w:rsid w:val="1EDC2FFE"/>
    <w:rsid w:val="1EDE4201"/>
    <w:rsid w:val="1EE56AE6"/>
    <w:rsid w:val="1EEC1CC9"/>
    <w:rsid w:val="1EF26089"/>
    <w:rsid w:val="1EF80524"/>
    <w:rsid w:val="1F011492"/>
    <w:rsid w:val="1F070B8A"/>
    <w:rsid w:val="1F1C595D"/>
    <w:rsid w:val="1F1D4045"/>
    <w:rsid w:val="1F20261E"/>
    <w:rsid w:val="1F235294"/>
    <w:rsid w:val="1F3B1ACB"/>
    <w:rsid w:val="1F431867"/>
    <w:rsid w:val="1F5C43D0"/>
    <w:rsid w:val="1F5D62F7"/>
    <w:rsid w:val="1F607444"/>
    <w:rsid w:val="1F650A6A"/>
    <w:rsid w:val="1F6B2725"/>
    <w:rsid w:val="1F7A22EF"/>
    <w:rsid w:val="1F7E1DB8"/>
    <w:rsid w:val="1F867DA8"/>
    <w:rsid w:val="1F8825CB"/>
    <w:rsid w:val="1F8E78F8"/>
    <w:rsid w:val="1F975959"/>
    <w:rsid w:val="1F997083"/>
    <w:rsid w:val="1FBF0364"/>
    <w:rsid w:val="1FC21480"/>
    <w:rsid w:val="1FC32513"/>
    <w:rsid w:val="1FD477E4"/>
    <w:rsid w:val="1FE4674A"/>
    <w:rsid w:val="2007759D"/>
    <w:rsid w:val="201D7840"/>
    <w:rsid w:val="201F3EC8"/>
    <w:rsid w:val="20282BDD"/>
    <w:rsid w:val="20294396"/>
    <w:rsid w:val="20455754"/>
    <w:rsid w:val="20553731"/>
    <w:rsid w:val="206E3D2E"/>
    <w:rsid w:val="20742FE7"/>
    <w:rsid w:val="2076598E"/>
    <w:rsid w:val="207E53E4"/>
    <w:rsid w:val="20875613"/>
    <w:rsid w:val="208F39F4"/>
    <w:rsid w:val="20970C07"/>
    <w:rsid w:val="20AF2D86"/>
    <w:rsid w:val="20B8756D"/>
    <w:rsid w:val="20C652D0"/>
    <w:rsid w:val="20D12777"/>
    <w:rsid w:val="20D349B7"/>
    <w:rsid w:val="20E3554F"/>
    <w:rsid w:val="20E43B18"/>
    <w:rsid w:val="20E4428E"/>
    <w:rsid w:val="210640B3"/>
    <w:rsid w:val="21112767"/>
    <w:rsid w:val="212D142B"/>
    <w:rsid w:val="213C1E5E"/>
    <w:rsid w:val="21527762"/>
    <w:rsid w:val="216D6321"/>
    <w:rsid w:val="217558B3"/>
    <w:rsid w:val="217C6B87"/>
    <w:rsid w:val="218F3C57"/>
    <w:rsid w:val="21912FA1"/>
    <w:rsid w:val="21952BF1"/>
    <w:rsid w:val="219D709D"/>
    <w:rsid w:val="21A65791"/>
    <w:rsid w:val="21AF1F43"/>
    <w:rsid w:val="21B36A50"/>
    <w:rsid w:val="21BC056F"/>
    <w:rsid w:val="21CB1398"/>
    <w:rsid w:val="21D67F90"/>
    <w:rsid w:val="21D72757"/>
    <w:rsid w:val="21D97AB4"/>
    <w:rsid w:val="21E17A05"/>
    <w:rsid w:val="21E64000"/>
    <w:rsid w:val="21E70C97"/>
    <w:rsid w:val="21F1172B"/>
    <w:rsid w:val="21FB651C"/>
    <w:rsid w:val="220D1865"/>
    <w:rsid w:val="220E4340"/>
    <w:rsid w:val="221C6CE4"/>
    <w:rsid w:val="22237F26"/>
    <w:rsid w:val="222906DF"/>
    <w:rsid w:val="22332FDF"/>
    <w:rsid w:val="22374838"/>
    <w:rsid w:val="223B6AAB"/>
    <w:rsid w:val="225523A5"/>
    <w:rsid w:val="2255750B"/>
    <w:rsid w:val="22595B74"/>
    <w:rsid w:val="225D1E3E"/>
    <w:rsid w:val="225F11FB"/>
    <w:rsid w:val="22603937"/>
    <w:rsid w:val="227F30F5"/>
    <w:rsid w:val="228042E4"/>
    <w:rsid w:val="229C42E8"/>
    <w:rsid w:val="22A21264"/>
    <w:rsid w:val="22A27F19"/>
    <w:rsid w:val="22A40E84"/>
    <w:rsid w:val="22A4198E"/>
    <w:rsid w:val="22A43C50"/>
    <w:rsid w:val="22B10AB2"/>
    <w:rsid w:val="22B967FE"/>
    <w:rsid w:val="22C42EEE"/>
    <w:rsid w:val="22C743CE"/>
    <w:rsid w:val="22D9123A"/>
    <w:rsid w:val="22E26024"/>
    <w:rsid w:val="22E67651"/>
    <w:rsid w:val="22EE6F64"/>
    <w:rsid w:val="22F24011"/>
    <w:rsid w:val="22F57EFE"/>
    <w:rsid w:val="22FA77F9"/>
    <w:rsid w:val="230A3681"/>
    <w:rsid w:val="231000A5"/>
    <w:rsid w:val="2321719A"/>
    <w:rsid w:val="232B0AF9"/>
    <w:rsid w:val="23395FAF"/>
    <w:rsid w:val="233F612A"/>
    <w:rsid w:val="234041E3"/>
    <w:rsid w:val="23512935"/>
    <w:rsid w:val="2366189C"/>
    <w:rsid w:val="23840381"/>
    <w:rsid w:val="23963F55"/>
    <w:rsid w:val="23A813E1"/>
    <w:rsid w:val="23AC2F27"/>
    <w:rsid w:val="23DF7B98"/>
    <w:rsid w:val="23E518FA"/>
    <w:rsid w:val="23FA3026"/>
    <w:rsid w:val="23FF148E"/>
    <w:rsid w:val="240255B9"/>
    <w:rsid w:val="24124B96"/>
    <w:rsid w:val="241B2E25"/>
    <w:rsid w:val="24306EFA"/>
    <w:rsid w:val="24492F44"/>
    <w:rsid w:val="244B4DB1"/>
    <w:rsid w:val="244E5C3A"/>
    <w:rsid w:val="246555E1"/>
    <w:rsid w:val="246B620B"/>
    <w:rsid w:val="246F5692"/>
    <w:rsid w:val="2479733D"/>
    <w:rsid w:val="247B2B44"/>
    <w:rsid w:val="247D085D"/>
    <w:rsid w:val="247E31E9"/>
    <w:rsid w:val="248315CA"/>
    <w:rsid w:val="24873293"/>
    <w:rsid w:val="249701A2"/>
    <w:rsid w:val="2497625B"/>
    <w:rsid w:val="249917FE"/>
    <w:rsid w:val="24A52419"/>
    <w:rsid w:val="24A917AF"/>
    <w:rsid w:val="24AF1021"/>
    <w:rsid w:val="24C5334C"/>
    <w:rsid w:val="24D614CE"/>
    <w:rsid w:val="24D95CBE"/>
    <w:rsid w:val="2508087C"/>
    <w:rsid w:val="250B45E9"/>
    <w:rsid w:val="251B0D7A"/>
    <w:rsid w:val="254816C9"/>
    <w:rsid w:val="255762FC"/>
    <w:rsid w:val="25711C1B"/>
    <w:rsid w:val="257343B4"/>
    <w:rsid w:val="2581277A"/>
    <w:rsid w:val="258800DF"/>
    <w:rsid w:val="25890D12"/>
    <w:rsid w:val="25930807"/>
    <w:rsid w:val="25934372"/>
    <w:rsid w:val="2596784A"/>
    <w:rsid w:val="25A6388A"/>
    <w:rsid w:val="25E00498"/>
    <w:rsid w:val="25E5159A"/>
    <w:rsid w:val="25F26566"/>
    <w:rsid w:val="25F724A4"/>
    <w:rsid w:val="25F86AA8"/>
    <w:rsid w:val="25FB602B"/>
    <w:rsid w:val="260A19EA"/>
    <w:rsid w:val="260D5FFF"/>
    <w:rsid w:val="26103167"/>
    <w:rsid w:val="261D4CDA"/>
    <w:rsid w:val="26357304"/>
    <w:rsid w:val="2645660C"/>
    <w:rsid w:val="265A2CE2"/>
    <w:rsid w:val="265E3811"/>
    <w:rsid w:val="26613C71"/>
    <w:rsid w:val="26622587"/>
    <w:rsid w:val="2668592C"/>
    <w:rsid w:val="26781483"/>
    <w:rsid w:val="268437CD"/>
    <w:rsid w:val="268E53DB"/>
    <w:rsid w:val="269549E1"/>
    <w:rsid w:val="26A32212"/>
    <w:rsid w:val="26B44A44"/>
    <w:rsid w:val="26B90BA1"/>
    <w:rsid w:val="26BF763B"/>
    <w:rsid w:val="26C53691"/>
    <w:rsid w:val="26CD1837"/>
    <w:rsid w:val="26D326E2"/>
    <w:rsid w:val="26D90023"/>
    <w:rsid w:val="26F276D9"/>
    <w:rsid w:val="27095099"/>
    <w:rsid w:val="270D2743"/>
    <w:rsid w:val="2712219A"/>
    <w:rsid w:val="271511C4"/>
    <w:rsid w:val="271F7AFF"/>
    <w:rsid w:val="27326521"/>
    <w:rsid w:val="27335F39"/>
    <w:rsid w:val="274567C2"/>
    <w:rsid w:val="27520733"/>
    <w:rsid w:val="27525F8B"/>
    <w:rsid w:val="27554102"/>
    <w:rsid w:val="275F2A21"/>
    <w:rsid w:val="27671DF5"/>
    <w:rsid w:val="27735CAC"/>
    <w:rsid w:val="278E79E4"/>
    <w:rsid w:val="27A52F98"/>
    <w:rsid w:val="27B33859"/>
    <w:rsid w:val="27C0642B"/>
    <w:rsid w:val="27DB6B61"/>
    <w:rsid w:val="27DC5887"/>
    <w:rsid w:val="27E6302E"/>
    <w:rsid w:val="27E8214D"/>
    <w:rsid w:val="27F23233"/>
    <w:rsid w:val="27FF7F89"/>
    <w:rsid w:val="28094EEC"/>
    <w:rsid w:val="2814160F"/>
    <w:rsid w:val="28175856"/>
    <w:rsid w:val="282717D7"/>
    <w:rsid w:val="28316E4C"/>
    <w:rsid w:val="2838044E"/>
    <w:rsid w:val="283E0A6E"/>
    <w:rsid w:val="2851729C"/>
    <w:rsid w:val="285A4FEE"/>
    <w:rsid w:val="285B6F8A"/>
    <w:rsid w:val="28680895"/>
    <w:rsid w:val="287C40AF"/>
    <w:rsid w:val="28A00818"/>
    <w:rsid w:val="28AB19CF"/>
    <w:rsid w:val="28AC3192"/>
    <w:rsid w:val="28CB5726"/>
    <w:rsid w:val="28D95130"/>
    <w:rsid w:val="28E55346"/>
    <w:rsid w:val="28EA3B85"/>
    <w:rsid w:val="28EC3EF5"/>
    <w:rsid w:val="29004C42"/>
    <w:rsid w:val="29047405"/>
    <w:rsid w:val="290A59FC"/>
    <w:rsid w:val="291D4F71"/>
    <w:rsid w:val="29217C69"/>
    <w:rsid w:val="292A3B35"/>
    <w:rsid w:val="293277FC"/>
    <w:rsid w:val="29420650"/>
    <w:rsid w:val="295773AF"/>
    <w:rsid w:val="296704E8"/>
    <w:rsid w:val="296F3858"/>
    <w:rsid w:val="29707714"/>
    <w:rsid w:val="297B242B"/>
    <w:rsid w:val="297B55B2"/>
    <w:rsid w:val="297C23E4"/>
    <w:rsid w:val="298011DE"/>
    <w:rsid w:val="2980121F"/>
    <w:rsid w:val="298472ED"/>
    <w:rsid w:val="298E0874"/>
    <w:rsid w:val="29A0362E"/>
    <w:rsid w:val="29A466FD"/>
    <w:rsid w:val="29B41287"/>
    <w:rsid w:val="29B43A3B"/>
    <w:rsid w:val="29BB5038"/>
    <w:rsid w:val="29BC407A"/>
    <w:rsid w:val="29C36845"/>
    <w:rsid w:val="29C504FC"/>
    <w:rsid w:val="29C5603D"/>
    <w:rsid w:val="29D05603"/>
    <w:rsid w:val="29DA4299"/>
    <w:rsid w:val="29E0296F"/>
    <w:rsid w:val="29E465ED"/>
    <w:rsid w:val="29E54B3F"/>
    <w:rsid w:val="29E95A47"/>
    <w:rsid w:val="29EA2114"/>
    <w:rsid w:val="29FE02A1"/>
    <w:rsid w:val="2A0539CD"/>
    <w:rsid w:val="2A0A41B8"/>
    <w:rsid w:val="2A0D00FE"/>
    <w:rsid w:val="2A0E696C"/>
    <w:rsid w:val="2A280718"/>
    <w:rsid w:val="2A327CA8"/>
    <w:rsid w:val="2A5534F9"/>
    <w:rsid w:val="2A563A2A"/>
    <w:rsid w:val="2A5F2BA2"/>
    <w:rsid w:val="2A610B24"/>
    <w:rsid w:val="2A6B444D"/>
    <w:rsid w:val="2A737DE5"/>
    <w:rsid w:val="2A7F6010"/>
    <w:rsid w:val="2A86097D"/>
    <w:rsid w:val="2A9312BA"/>
    <w:rsid w:val="2AA17975"/>
    <w:rsid w:val="2AAF109B"/>
    <w:rsid w:val="2ADA5B1E"/>
    <w:rsid w:val="2ADF1B53"/>
    <w:rsid w:val="2ADF5B2F"/>
    <w:rsid w:val="2AE555E3"/>
    <w:rsid w:val="2AE82D55"/>
    <w:rsid w:val="2AE872A9"/>
    <w:rsid w:val="2AEF3D55"/>
    <w:rsid w:val="2AEF5EDA"/>
    <w:rsid w:val="2AF07B09"/>
    <w:rsid w:val="2AFC230A"/>
    <w:rsid w:val="2B017C57"/>
    <w:rsid w:val="2B0B13B5"/>
    <w:rsid w:val="2B1B2555"/>
    <w:rsid w:val="2B2D66F5"/>
    <w:rsid w:val="2B305FE6"/>
    <w:rsid w:val="2B336661"/>
    <w:rsid w:val="2B3F56D4"/>
    <w:rsid w:val="2B4F77F1"/>
    <w:rsid w:val="2B56528A"/>
    <w:rsid w:val="2B6052EF"/>
    <w:rsid w:val="2B61700D"/>
    <w:rsid w:val="2B623D0B"/>
    <w:rsid w:val="2B6A7FB6"/>
    <w:rsid w:val="2B71412B"/>
    <w:rsid w:val="2B7D62FB"/>
    <w:rsid w:val="2B7E0EDF"/>
    <w:rsid w:val="2B8253AE"/>
    <w:rsid w:val="2B880B72"/>
    <w:rsid w:val="2B8F395A"/>
    <w:rsid w:val="2B943C00"/>
    <w:rsid w:val="2B985AEF"/>
    <w:rsid w:val="2B9E4A37"/>
    <w:rsid w:val="2BAC1CB0"/>
    <w:rsid w:val="2BB47E39"/>
    <w:rsid w:val="2BB77C11"/>
    <w:rsid w:val="2BC064FC"/>
    <w:rsid w:val="2BCF4EE7"/>
    <w:rsid w:val="2BE312A7"/>
    <w:rsid w:val="2BE8169B"/>
    <w:rsid w:val="2BEF097B"/>
    <w:rsid w:val="2BF17AC9"/>
    <w:rsid w:val="2BF416D3"/>
    <w:rsid w:val="2C0063C5"/>
    <w:rsid w:val="2C0913DD"/>
    <w:rsid w:val="2C1D1FB0"/>
    <w:rsid w:val="2C2F172A"/>
    <w:rsid w:val="2C396C67"/>
    <w:rsid w:val="2C573B99"/>
    <w:rsid w:val="2C7E1B29"/>
    <w:rsid w:val="2C7E39A1"/>
    <w:rsid w:val="2C864A08"/>
    <w:rsid w:val="2C9317BB"/>
    <w:rsid w:val="2CA451E4"/>
    <w:rsid w:val="2CA46F92"/>
    <w:rsid w:val="2CA96BAC"/>
    <w:rsid w:val="2CAC48F6"/>
    <w:rsid w:val="2CB52C15"/>
    <w:rsid w:val="2CB872F4"/>
    <w:rsid w:val="2CC31B0E"/>
    <w:rsid w:val="2CD044D8"/>
    <w:rsid w:val="2CD23C4E"/>
    <w:rsid w:val="2CE82298"/>
    <w:rsid w:val="2CF32709"/>
    <w:rsid w:val="2CF972DD"/>
    <w:rsid w:val="2D037164"/>
    <w:rsid w:val="2D0725CD"/>
    <w:rsid w:val="2D1A6FDA"/>
    <w:rsid w:val="2D1C78C0"/>
    <w:rsid w:val="2D1E721B"/>
    <w:rsid w:val="2D2A27DF"/>
    <w:rsid w:val="2D2F531D"/>
    <w:rsid w:val="2D382B4A"/>
    <w:rsid w:val="2D3B10E4"/>
    <w:rsid w:val="2D3B6E5D"/>
    <w:rsid w:val="2D51433D"/>
    <w:rsid w:val="2D5F44ED"/>
    <w:rsid w:val="2D6C0AD4"/>
    <w:rsid w:val="2D6D487C"/>
    <w:rsid w:val="2D770C3D"/>
    <w:rsid w:val="2D835246"/>
    <w:rsid w:val="2D8C1A6C"/>
    <w:rsid w:val="2D966D8D"/>
    <w:rsid w:val="2D976231"/>
    <w:rsid w:val="2DA11E1F"/>
    <w:rsid w:val="2DB16157"/>
    <w:rsid w:val="2DB627EE"/>
    <w:rsid w:val="2DCB529C"/>
    <w:rsid w:val="2DEC1DC8"/>
    <w:rsid w:val="2DF0436A"/>
    <w:rsid w:val="2DFF62CC"/>
    <w:rsid w:val="2E0F7066"/>
    <w:rsid w:val="2E1220CB"/>
    <w:rsid w:val="2E14784E"/>
    <w:rsid w:val="2E1662D7"/>
    <w:rsid w:val="2E25317B"/>
    <w:rsid w:val="2E340575"/>
    <w:rsid w:val="2E3918DD"/>
    <w:rsid w:val="2E5C5154"/>
    <w:rsid w:val="2E650147"/>
    <w:rsid w:val="2E655139"/>
    <w:rsid w:val="2E680D39"/>
    <w:rsid w:val="2E750648"/>
    <w:rsid w:val="2E7A032A"/>
    <w:rsid w:val="2E84671D"/>
    <w:rsid w:val="2E864BA1"/>
    <w:rsid w:val="2E9E3E62"/>
    <w:rsid w:val="2EA033F3"/>
    <w:rsid w:val="2EA54F9E"/>
    <w:rsid w:val="2EB16B9B"/>
    <w:rsid w:val="2EB54433"/>
    <w:rsid w:val="2ECC16AD"/>
    <w:rsid w:val="2ECD788E"/>
    <w:rsid w:val="2ED57A27"/>
    <w:rsid w:val="2EF14D65"/>
    <w:rsid w:val="2F050F1F"/>
    <w:rsid w:val="2F176141"/>
    <w:rsid w:val="2F1B446F"/>
    <w:rsid w:val="2F1D5819"/>
    <w:rsid w:val="2F407BCB"/>
    <w:rsid w:val="2F4F23ED"/>
    <w:rsid w:val="2F6420A3"/>
    <w:rsid w:val="2F7700E0"/>
    <w:rsid w:val="2F7B23BC"/>
    <w:rsid w:val="2F836C52"/>
    <w:rsid w:val="2F895129"/>
    <w:rsid w:val="2F9E0D6F"/>
    <w:rsid w:val="2FA25841"/>
    <w:rsid w:val="2FB435FD"/>
    <w:rsid w:val="2FB77BD2"/>
    <w:rsid w:val="2FDB708E"/>
    <w:rsid w:val="2FDC0AB9"/>
    <w:rsid w:val="2FDD7F30"/>
    <w:rsid w:val="2FE54F71"/>
    <w:rsid w:val="30016933"/>
    <w:rsid w:val="300446D9"/>
    <w:rsid w:val="300C55BD"/>
    <w:rsid w:val="300F6E18"/>
    <w:rsid w:val="301C0B84"/>
    <w:rsid w:val="301F67BC"/>
    <w:rsid w:val="302154AF"/>
    <w:rsid w:val="3026186E"/>
    <w:rsid w:val="303612CA"/>
    <w:rsid w:val="30425877"/>
    <w:rsid w:val="304A15F7"/>
    <w:rsid w:val="304D3501"/>
    <w:rsid w:val="304E7940"/>
    <w:rsid w:val="30670A02"/>
    <w:rsid w:val="306C1B3E"/>
    <w:rsid w:val="3087562C"/>
    <w:rsid w:val="30917EF8"/>
    <w:rsid w:val="309E7654"/>
    <w:rsid w:val="30A16C50"/>
    <w:rsid w:val="30AC3E3D"/>
    <w:rsid w:val="30C119F1"/>
    <w:rsid w:val="30C145B6"/>
    <w:rsid w:val="30D74183"/>
    <w:rsid w:val="30E4344B"/>
    <w:rsid w:val="30EF5D20"/>
    <w:rsid w:val="30F74054"/>
    <w:rsid w:val="310F11AC"/>
    <w:rsid w:val="310F5B06"/>
    <w:rsid w:val="313640C4"/>
    <w:rsid w:val="31397B37"/>
    <w:rsid w:val="314048CA"/>
    <w:rsid w:val="314110CA"/>
    <w:rsid w:val="314326BA"/>
    <w:rsid w:val="3146427B"/>
    <w:rsid w:val="31476781"/>
    <w:rsid w:val="314864C3"/>
    <w:rsid w:val="3150353F"/>
    <w:rsid w:val="3157433E"/>
    <w:rsid w:val="315D0539"/>
    <w:rsid w:val="318566E2"/>
    <w:rsid w:val="31881694"/>
    <w:rsid w:val="31885EA8"/>
    <w:rsid w:val="31906C67"/>
    <w:rsid w:val="31973E5D"/>
    <w:rsid w:val="319D5E4B"/>
    <w:rsid w:val="31AD14BE"/>
    <w:rsid w:val="31BD0EBF"/>
    <w:rsid w:val="31F156D2"/>
    <w:rsid w:val="32014808"/>
    <w:rsid w:val="32042616"/>
    <w:rsid w:val="321E77E6"/>
    <w:rsid w:val="3221146F"/>
    <w:rsid w:val="32237383"/>
    <w:rsid w:val="32341BBE"/>
    <w:rsid w:val="3237293F"/>
    <w:rsid w:val="323A2C83"/>
    <w:rsid w:val="323C7732"/>
    <w:rsid w:val="32563483"/>
    <w:rsid w:val="32650832"/>
    <w:rsid w:val="32665582"/>
    <w:rsid w:val="327577D1"/>
    <w:rsid w:val="32801D88"/>
    <w:rsid w:val="3281717C"/>
    <w:rsid w:val="32924F52"/>
    <w:rsid w:val="329921B0"/>
    <w:rsid w:val="329D4A4D"/>
    <w:rsid w:val="32B07C5C"/>
    <w:rsid w:val="32B55D60"/>
    <w:rsid w:val="32B75648"/>
    <w:rsid w:val="32BC6EF3"/>
    <w:rsid w:val="32C3686C"/>
    <w:rsid w:val="32C40CE2"/>
    <w:rsid w:val="32C643E5"/>
    <w:rsid w:val="32D43E66"/>
    <w:rsid w:val="32E51CB6"/>
    <w:rsid w:val="330A7E71"/>
    <w:rsid w:val="330D5675"/>
    <w:rsid w:val="330D6391"/>
    <w:rsid w:val="330D69C2"/>
    <w:rsid w:val="331E3A0A"/>
    <w:rsid w:val="33287E7D"/>
    <w:rsid w:val="33303923"/>
    <w:rsid w:val="33373A40"/>
    <w:rsid w:val="333B2DAB"/>
    <w:rsid w:val="333D1CA4"/>
    <w:rsid w:val="333D34A7"/>
    <w:rsid w:val="33461641"/>
    <w:rsid w:val="3350776F"/>
    <w:rsid w:val="33636DAA"/>
    <w:rsid w:val="33657FD9"/>
    <w:rsid w:val="33696C4A"/>
    <w:rsid w:val="33732CB0"/>
    <w:rsid w:val="337D1A76"/>
    <w:rsid w:val="338335F7"/>
    <w:rsid w:val="338A18A6"/>
    <w:rsid w:val="33983056"/>
    <w:rsid w:val="339F4770"/>
    <w:rsid w:val="33B30D95"/>
    <w:rsid w:val="33C135A6"/>
    <w:rsid w:val="33C52360"/>
    <w:rsid w:val="33CE1F2D"/>
    <w:rsid w:val="33D96B50"/>
    <w:rsid w:val="33E643B9"/>
    <w:rsid w:val="33EA2580"/>
    <w:rsid w:val="33EC7B9C"/>
    <w:rsid w:val="33FD4E51"/>
    <w:rsid w:val="34020271"/>
    <w:rsid w:val="340A6F83"/>
    <w:rsid w:val="340C0F9D"/>
    <w:rsid w:val="341314C1"/>
    <w:rsid w:val="34151662"/>
    <w:rsid w:val="342917BC"/>
    <w:rsid w:val="342B336A"/>
    <w:rsid w:val="34300F5B"/>
    <w:rsid w:val="34484751"/>
    <w:rsid w:val="344B665F"/>
    <w:rsid w:val="346B42E4"/>
    <w:rsid w:val="34805A15"/>
    <w:rsid w:val="348A4CBF"/>
    <w:rsid w:val="34905608"/>
    <w:rsid w:val="34A440F4"/>
    <w:rsid w:val="34B741A0"/>
    <w:rsid w:val="34BD4C13"/>
    <w:rsid w:val="34CD6C62"/>
    <w:rsid w:val="34D07375"/>
    <w:rsid w:val="34F30AB6"/>
    <w:rsid w:val="34FF00A6"/>
    <w:rsid w:val="350A1472"/>
    <w:rsid w:val="350A1476"/>
    <w:rsid w:val="35496F97"/>
    <w:rsid w:val="354D6CEE"/>
    <w:rsid w:val="356E5D01"/>
    <w:rsid w:val="3581101C"/>
    <w:rsid w:val="358368CD"/>
    <w:rsid w:val="35872AEF"/>
    <w:rsid w:val="359C3176"/>
    <w:rsid w:val="359E07F5"/>
    <w:rsid w:val="35A03A68"/>
    <w:rsid w:val="35B9021E"/>
    <w:rsid w:val="35C224B4"/>
    <w:rsid w:val="35CF2DA6"/>
    <w:rsid w:val="35D205E1"/>
    <w:rsid w:val="35DD65FD"/>
    <w:rsid w:val="35E310CC"/>
    <w:rsid w:val="35E90F93"/>
    <w:rsid w:val="35EA3D3C"/>
    <w:rsid w:val="35F77469"/>
    <w:rsid w:val="35F87FE2"/>
    <w:rsid w:val="36121AD4"/>
    <w:rsid w:val="361B04D0"/>
    <w:rsid w:val="362449B6"/>
    <w:rsid w:val="362658B3"/>
    <w:rsid w:val="36282790"/>
    <w:rsid w:val="36286772"/>
    <w:rsid w:val="36297806"/>
    <w:rsid w:val="36622A9F"/>
    <w:rsid w:val="3664306A"/>
    <w:rsid w:val="36653C36"/>
    <w:rsid w:val="36990CA4"/>
    <w:rsid w:val="36A04050"/>
    <w:rsid w:val="36BF6FC8"/>
    <w:rsid w:val="36E27B96"/>
    <w:rsid w:val="36E4298C"/>
    <w:rsid w:val="36F37CAD"/>
    <w:rsid w:val="36FF3742"/>
    <w:rsid w:val="3717712E"/>
    <w:rsid w:val="371972D1"/>
    <w:rsid w:val="371D30F2"/>
    <w:rsid w:val="372E5DF1"/>
    <w:rsid w:val="373E09A4"/>
    <w:rsid w:val="37422FEC"/>
    <w:rsid w:val="374C28CC"/>
    <w:rsid w:val="3759516E"/>
    <w:rsid w:val="375E2F9F"/>
    <w:rsid w:val="377229BC"/>
    <w:rsid w:val="37803B3D"/>
    <w:rsid w:val="37956ACB"/>
    <w:rsid w:val="379D1B4B"/>
    <w:rsid w:val="37AC263C"/>
    <w:rsid w:val="37B55BDD"/>
    <w:rsid w:val="37F9359D"/>
    <w:rsid w:val="37F93992"/>
    <w:rsid w:val="37F94A1C"/>
    <w:rsid w:val="37FA48E2"/>
    <w:rsid w:val="37FD68EB"/>
    <w:rsid w:val="37FF177C"/>
    <w:rsid w:val="380134EA"/>
    <w:rsid w:val="38067D6D"/>
    <w:rsid w:val="38165924"/>
    <w:rsid w:val="381E2412"/>
    <w:rsid w:val="381F4FD6"/>
    <w:rsid w:val="38395591"/>
    <w:rsid w:val="383C09CC"/>
    <w:rsid w:val="38482076"/>
    <w:rsid w:val="384D6DC5"/>
    <w:rsid w:val="385C2808"/>
    <w:rsid w:val="38613F89"/>
    <w:rsid w:val="387B331E"/>
    <w:rsid w:val="389503DA"/>
    <w:rsid w:val="38A0374E"/>
    <w:rsid w:val="38A745F8"/>
    <w:rsid w:val="38D34E86"/>
    <w:rsid w:val="38F02E41"/>
    <w:rsid w:val="38F75933"/>
    <w:rsid w:val="38FE131A"/>
    <w:rsid w:val="39073C1D"/>
    <w:rsid w:val="390C1745"/>
    <w:rsid w:val="39110CC5"/>
    <w:rsid w:val="391B4A49"/>
    <w:rsid w:val="39202096"/>
    <w:rsid w:val="392105D5"/>
    <w:rsid w:val="392C0EA5"/>
    <w:rsid w:val="3930531D"/>
    <w:rsid w:val="3936549A"/>
    <w:rsid w:val="39416418"/>
    <w:rsid w:val="394F44D7"/>
    <w:rsid w:val="39551090"/>
    <w:rsid w:val="39640F80"/>
    <w:rsid w:val="3973588F"/>
    <w:rsid w:val="397A32B0"/>
    <w:rsid w:val="39851683"/>
    <w:rsid w:val="39914CE3"/>
    <w:rsid w:val="39984871"/>
    <w:rsid w:val="399E71FC"/>
    <w:rsid w:val="399F2FBB"/>
    <w:rsid w:val="39A0237E"/>
    <w:rsid w:val="39BD2C3A"/>
    <w:rsid w:val="39C52005"/>
    <w:rsid w:val="39CC27E5"/>
    <w:rsid w:val="39DA51AD"/>
    <w:rsid w:val="39E93C2B"/>
    <w:rsid w:val="39F41F3E"/>
    <w:rsid w:val="3A030524"/>
    <w:rsid w:val="3A033D4A"/>
    <w:rsid w:val="3A03430E"/>
    <w:rsid w:val="3A08609D"/>
    <w:rsid w:val="3A0C1CD5"/>
    <w:rsid w:val="3A10210A"/>
    <w:rsid w:val="3A114EE8"/>
    <w:rsid w:val="3A1D2997"/>
    <w:rsid w:val="3A1E1D8F"/>
    <w:rsid w:val="3A2D4A6A"/>
    <w:rsid w:val="3A3758E9"/>
    <w:rsid w:val="3A46318B"/>
    <w:rsid w:val="3A464DCA"/>
    <w:rsid w:val="3A4D30A4"/>
    <w:rsid w:val="3A500900"/>
    <w:rsid w:val="3A551F0E"/>
    <w:rsid w:val="3A631E0D"/>
    <w:rsid w:val="3A6719F4"/>
    <w:rsid w:val="3A7D5AB3"/>
    <w:rsid w:val="3A7E085A"/>
    <w:rsid w:val="3A8101BA"/>
    <w:rsid w:val="3A845E1C"/>
    <w:rsid w:val="3A870E24"/>
    <w:rsid w:val="3A927399"/>
    <w:rsid w:val="3A983702"/>
    <w:rsid w:val="3ABC63B3"/>
    <w:rsid w:val="3ACB01BE"/>
    <w:rsid w:val="3ACF721A"/>
    <w:rsid w:val="3AD33CDA"/>
    <w:rsid w:val="3AD74D34"/>
    <w:rsid w:val="3AE61971"/>
    <w:rsid w:val="3AE63C80"/>
    <w:rsid w:val="3B017601"/>
    <w:rsid w:val="3B060682"/>
    <w:rsid w:val="3B0A3B54"/>
    <w:rsid w:val="3B0E22E9"/>
    <w:rsid w:val="3B122BB2"/>
    <w:rsid w:val="3B291FD4"/>
    <w:rsid w:val="3B495853"/>
    <w:rsid w:val="3B4C338E"/>
    <w:rsid w:val="3B5120DB"/>
    <w:rsid w:val="3B5875DE"/>
    <w:rsid w:val="3B593D55"/>
    <w:rsid w:val="3B9330CB"/>
    <w:rsid w:val="3B9375FE"/>
    <w:rsid w:val="3B9B050B"/>
    <w:rsid w:val="3BA40D5C"/>
    <w:rsid w:val="3BA81A96"/>
    <w:rsid w:val="3BAB57DA"/>
    <w:rsid w:val="3BAC02F5"/>
    <w:rsid w:val="3BB32955"/>
    <w:rsid w:val="3BC14AA2"/>
    <w:rsid w:val="3BC60CD2"/>
    <w:rsid w:val="3BCA6E6F"/>
    <w:rsid w:val="3BD12ADE"/>
    <w:rsid w:val="3BDD5436"/>
    <w:rsid w:val="3BEC7A33"/>
    <w:rsid w:val="3BF701AA"/>
    <w:rsid w:val="3C0B5C51"/>
    <w:rsid w:val="3C1D2382"/>
    <w:rsid w:val="3C2D480C"/>
    <w:rsid w:val="3C3D7E93"/>
    <w:rsid w:val="3C4466A2"/>
    <w:rsid w:val="3C5E3263"/>
    <w:rsid w:val="3C5E3798"/>
    <w:rsid w:val="3C6278F5"/>
    <w:rsid w:val="3C6978B0"/>
    <w:rsid w:val="3C743443"/>
    <w:rsid w:val="3C762181"/>
    <w:rsid w:val="3C7E7419"/>
    <w:rsid w:val="3C867D99"/>
    <w:rsid w:val="3C8A0201"/>
    <w:rsid w:val="3C8B3CCA"/>
    <w:rsid w:val="3CA703B5"/>
    <w:rsid w:val="3CAD430D"/>
    <w:rsid w:val="3CAE2886"/>
    <w:rsid w:val="3CC73CF6"/>
    <w:rsid w:val="3CCD78C1"/>
    <w:rsid w:val="3CD049DB"/>
    <w:rsid w:val="3CDD2778"/>
    <w:rsid w:val="3CE21CD3"/>
    <w:rsid w:val="3CEF6DE3"/>
    <w:rsid w:val="3CF708BC"/>
    <w:rsid w:val="3CFD4337"/>
    <w:rsid w:val="3D08711F"/>
    <w:rsid w:val="3D15600F"/>
    <w:rsid w:val="3D171F4D"/>
    <w:rsid w:val="3D2B65AC"/>
    <w:rsid w:val="3D2E32E4"/>
    <w:rsid w:val="3D37595D"/>
    <w:rsid w:val="3D4224E6"/>
    <w:rsid w:val="3D4A1569"/>
    <w:rsid w:val="3D4C7F96"/>
    <w:rsid w:val="3D5F06B3"/>
    <w:rsid w:val="3D61254C"/>
    <w:rsid w:val="3D6355A2"/>
    <w:rsid w:val="3D813FB8"/>
    <w:rsid w:val="3D8776E7"/>
    <w:rsid w:val="3D903B0F"/>
    <w:rsid w:val="3D931840"/>
    <w:rsid w:val="3DB31964"/>
    <w:rsid w:val="3DC75AB9"/>
    <w:rsid w:val="3DD94EFC"/>
    <w:rsid w:val="3DE05D00"/>
    <w:rsid w:val="3DE24C1C"/>
    <w:rsid w:val="3DF05FF0"/>
    <w:rsid w:val="3DF47498"/>
    <w:rsid w:val="3DF8112B"/>
    <w:rsid w:val="3DF94016"/>
    <w:rsid w:val="3E12305F"/>
    <w:rsid w:val="3E161BE9"/>
    <w:rsid w:val="3E2272BF"/>
    <w:rsid w:val="3E2549D3"/>
    <w:rsid w:val="3E2717D1"/>
    <w:rsid w:val="3E506DB7"/>
    <w:rsid w:val="3E542E7A"/>
    <w:rsid w:val="3E70573B"/>
    <w:rsid w:val="3E771547"/>
    <w:rsid w:val="3E7A1AEE"/>
    <w:rsid w:val="3E7D64C5"/>
    <w:rsid w:val="3E8E24F6"/>
    <w:rsid w:val="3E9D32BB"/>
    <w:rsid w:val="3EA43113"/>
    <w:rsid w:val="3EAE704B"/>
    <w:rsid w:val="3EBA4C37"/>
    <w:rsid w:val="3EBB5FFE"/>
    <w:rsid w:val="3ED820D8"/>
    <w:rsid w:val="3EDF3633"/>
    <w:rsid w:val="3EE24FF6"/>
    <w:rsid w:val="3EE72BF3"/>
    <w:rsid w:val="3F0D6B7F"/>
    <w:rsid w:val="3F285800"/>
    <w:rsid w:val="3F560457"/>
    <w:rsid w:val="3F5B3453"/>
    <w:rsid w:val="3F6D76B7"/>
    <w:rsid w:val="3F7948D0"/>
    <w:rsid w:val="3F857B55"/>
    <w:rsid w:val="3F8D6541"/>
    <w:rsid w:val="3F9115F7"/>
    <w:rsid w:val="3F9546A6"/>
    <w:rsid w:val="3F9B76E6"/>
    <w:rsid w:val="3FAB664C"/>
    <w:rsid w:val="3FB07D19"/>
    <w:rsid w:val="3FB30999"/>
    <w:rsid w:val="3FBE1EB5"/>
    <w:rsid w:val="3FBF43B6"/>
    <w:rsid w:val="3FC43B9C"/>
    <w:rsid w:val="3FD061CB"/>
    <w:rsid w:val="3FD538AE"/>
    <w:rsid w:val="3FD81E14"/>
    <w:rsid w:val="3FDC1A82"/>
    <w:rsid w:val="3FE1223D"/>
    <w:rsid w:val="3FF62059"/>
    <w:rsid w:val="3FF669CC"/>
    <w:rsid w:val="40055B41"/>
    <w:rsid w:val="40076D07"/>
    <w:rsid w:val="40173E82"/>
    <w:rsid w:val="40181DE5"/>
    <w:rsid w:val="401D7821"/>
    <w:rsid w:val="40250D89"/>
    <w:rsid w:val="40253CB6"/>
    <w:rsid w:val="40271105"/>
    <w:rsid w:val="402845C4"/>
    <w:rsid w:val="4038578A"/>
    <w:rsid w:val="403E471C"/>
    <w:rsid w:val="4043661E"/>
    <w:rsid w:val="404B2046"/>
    <w:rsid w:val="40734DB2"/>
    <w:rsid w:val="408B586D"/>
    <w:rsid w:val="409073CD"/>
    <w:rsid w:val="409562E8"/>
    <w:rsid w:val="409D2FBB"/>
    <w:rsid w:val="40C02F37"/>
    <w:rsid w:val="40DD2A3D"/>
    <w:rsid w:val="40FD6CBE"/>
    <w:rsid w:val="41247FB8"/>
    <w:rsid w:val="412778AA"/>
    <w:rsid w:val="41290E87"/>
    <w:rsid w:val="412D35A2"/>
    <w:rsid w:val="41460181"/>
    <w:rsid w:val="414A5F02"/>
    <w:rsid w:val="41541F09"/>
    <w:rsid w:val="415A50AF"/>
    <w:rsid w:val="41634D61"/>
    <w:rsid w:val="416707DF"/>
    <w:rsid w:val="41767610"/>
    <w:rsid w:val="417C3E6A"/>
    <w:rsid w:val="417F38C7"/>
    <w:rsid w:val="41821C3C"/>
    <w:rsid w:val="4190550A"/>
    <w:rsid w:val="41933A41"/>
    <w:rsid w:val="41972182"/>
    <w:rsid w:val="41B65345"/>
    <w:rsid w:val="41C348F1"/>
    <w:rsid w:val="41D46A38"/>
    <w:rsid w:val="41D97887"/>
    <w:rsid w:val="41E91184"/>
    <w:rsid w:val="41FA327A"/>
    <w:rsid w:val="42110C07"/>
    <w:rsid w:val="422F58A0"/>
    <w:rsid w:val="42341D09"/>
    <w:rsid w:val="424B28C9"/>
    <w:rsid w:val="424C233A"/>
    <w:rsid w:val="425828A0"/>
    <w:rsid w:val="42785292"/>
    <w:rsid w:val="428A3441"/>
    <w:rsid w:val="429D7BF6"/>
    <w:rsid w:val="429F7DFD"/>
    <w:rsid w:val="42AA77F8"/>
    <w:rsid w:val="42B7292E"/>
    <w:rsid w:val="42D0339E"/>
    <w:rsid w:val="42D868FD"/>
    <w:rsid w:val="42F13F72"/>
    <w:rsid w:val="42F8750F"/>
    <w:rsid w:val="42FC64A7"/>
    <w:rsid w:val="43034278"/>
    <w:rsid w:val="430B26D3"/>
    <w:rsid w:val="431B0A7C"/>
    <w:rsid w:val="43276628"/>
    <w:rsid w:val="432969AE"/>
    <w:rsid w:val="432B029D"/>
    <w:rsid w:val="432F5038"/>
    <w:rsid w:val="43556465"/>
    <w:rsid w:val="4378262D"/>
    <w:rsid w:val="437C743F"/>
    <w:rsid w:val="43872AD4"/>
    <w:rsid w:val="43897F6B"/>
    <w:rsid w:val="438A5A0B"/>
    <w:rsid w:val="43B86F0C"/>
    <w:rsid w:val="43BB7D84"/>
    <w:rsid w:val="43D522B5"/>
    <w:rsid w:val="43D73F9A"/>
    <w:rsid w:val="43E1584B"/>
    <w:rsid w:val="43F14BB7"/>
    <w:rsid w:val="43F17671"/>
    <w:rsid w:val="43F52CAB"/>
    <w:rsid w:val="43F54553"/>
    <w:rsid w:val="43FE66D5"/>
    <w:rsid w:val="44042C6B"/>
    <w:rsid w:val="440F612E"/>
    <w:rsid w:val="44121600"/>
    <w:rsid w:val="441B007C"/>
    <w:rsid w:val="443A158E"/>
    <w:rsid w:val="443A417F"/>
    <w:rsid w:val="445D3B54"/>
    <w:rsid w:val="44753CB3"/>
    <w:rsid w:val="44836E02"/>
    <w:rsid w:val="448D4FAA"/>
    <w:rsid w:val="4495527C"/>
    <w:rsid w:val="449C6987"/>
    <w:rsid w:val="44A3747B"/>
    <w:rsid w:val="44A91328"/>
    <w:rsid w:val="44AD737B"/>
    <w:rsid w:val="44B42700"/>
    <w:rsid w:val="44B61A24"/>
    <w:rsid w:val="44C00CEE"/>
    <w:rsid w:val="44C72EE2"/>
    <w:rsid w:val="44CF1CF0"/>
    <w:rsid w:val="44D14767"/>
    <w:rsid w:val="44D923EA"/>
    <w:rsid w:val="44F05A87"/>
    <w:rsid w:val="45030D2B"/>
    <w:rsid w:val="45076621"/>
    <w:rsid w:val="450F4DE2"/>
    <w:rsid w:val="45155423"/>
    <w:rsid w:val="451C3543"/>
    <w:rsid w:val="4526389B"/>
    <w:rsid w:val="45287A5C"/>
    <w:rsid w:val="45397118"/>
    <w:rsid w:val="45415D73"/>
    <w:rsid w:val="45445D9C"/>
    <w:rsid w:val="454953C5"/>
    <w:rsid w:val="45504D40"/>
    <w:rsid w:val="45544EE3"/>
    <w:rsid w:val="455B6981"/>
    <w:rsid w:val="455C65A9"/>
    <w:rsid w:val="456812AD"/>
    <w:rsid w:val="457A0A45"/>
    <w:rsid w:val="45827D99"/>
    <w:rsid w:val="45A40578"/>
    <w:rsid w:val="45AF2DCA"/>
    <w:rsid w:val="45B87CE9"/>
    <w:rsid w:val="45C17259"/>
    <w:rsid w:val="45DA1EB1"/>
    <w:rsid w:val="45E72425"/>
    <w:rsid w:val="45F6164C"/>
    <w:rsid w:val="45FA3EA2"/>
    <w:rsid w:val="46041942"/>
    <w:rsid w:val="462235EA"/>
    <w:rsid w:val="4622589D"/>
    <w:rsid w:val="462D207E"/>
    <w:rsid w:val="462F50C2"/>
    <w:rsid w:val="4632459D"/>
    <w:rsid w:val="46471CD7"/>
    <w:rsid w:val="4647620D"/>
    <w:rsid w:val="464A77E5"/>
    <w:rsid w:val="46536F0B"/>
    <w:rsid w:val="465F19D4"/>
    <w:rsid w:val="46607308"/>
    <w:rsid w:val="46653C7A"/>
    <w:rsid w:val="4665491A"/>
    <w:rsid w:val="466C4645"/>
    <w:rsid w:val="46717FE7"/>
    <w:rsid w:val="467B529D"/>
    <w:rsid w:val="46850A6C"/>
    <w:rsid w:val="46A4512E"/>
    <w:rsid w:val="46B17D72"/>
    <w:rsid w:val="46B553DA"/>
    <w:rsid w:val="46BE5D68"/>
    <w:rsid w:val="46C14D35"/>
    <w:rsid w:val="46EC1773"/>
    <w:rsid w:val="46F44C02"/>
    <w:rsid w:val="46F661E4"/>
    <w:rsid w:val="46F81C90"/>
    <w:rsid w:val="46F86550"/>
    <w:rsid w:val="46FF4560"/>
    <w:rsid w:val="47020E80"/>
    <w:rsid w:val="47034429"/>
    <w:rsid w:val="4708420F"/>
    <w:rsid w:val="471D7E3A"/>
    <w:rsid w:val="472015A9"/>
    <w:rsid w:val="47217705"/>
    <w:rsid w:val="47227A33"/>
    <w:rsid w:val="473B4B1B"/>
    <w:rsid w:val="473D17C3"/>
    <w:rsid w:val="47557D9F"/>
    <w:rsid w:val="476B3EEB"/>
    <w:rsid w:val="47731C1D"/>
    <w:rsid w:val="477E0CC1"/>
    <w:rsid w:val="47827461"/>
    <w:rsid w:val="47862556"/>
    <w:rsid w:val="47901166"/>
    <w:rsid w:val="47A00547"/>
    <w:rsid w:val="47AA1E9A"/>
    <w:rsid w:val="47B13B9D"/>
    <w:rsid w:val="47BC3A93"/>
    <w:rsid w:val="47BC742D"/>
    <w:rsid w:val="47EF2EE0"/>
    <w:rsid w:val="47F71C63"/>
    <w:rsid w:val="47F84C40"/>
    <w:rsid w:val="48032D59"/>
    <w:rsid w:val="48046EE9"/>
    <w:rsid w:val="481C0FF2"/>
    <w:rsid w:val="48284AC3"/>
    <w:rsid w:val="48324C5A"/>
    <w:rsid w:val="483B4702"/>
    <w:rsid w:val="48436949"/>
    <w:rsid w:val="48475EB6"/>
    <w:rsid w:val="484A73CF"/>
    <w:rsid w:val="484D79DA"/>
    <w:rsid w:val="484E57E0"/>
    <w:rsid w:val="484F510B"/>
    <w:rsid w:val="485E7176"/>
    <w:rsid w:val="486709BF"/>
    <w:rsid w:val="48775A12"/>
    <w:rsid w:val="48817758"/>
    <w:rsid w:val="4882269C"/>
    <w:rsid w:val="48976904"/>
    <w:rsid w:val="48A732A7"/>
    <w:rsid w:val="48B11730"/>
    <w:rsid w:val="48BF5427"/>
    <w:rsid w:val="48C60607"/>
    <w:rsid w:val="48E47EB7"/>
    <w:rsid w:val="48F055E1"/>
    <w:rsid w:val="48F171F6"/>
    <w:rsid w:val="48F87844"/>
    <w:rsid w:val="48FD6437"/>
    <w:rsid w:val="49072B8D"/>
    <w:rsid w:val="490820B1"/>
    <w:rsid w:val="491577BA"/>
    <w:rsid w:val="492A333E"/>
    <w:rsid w:val="492B1C96"/>
    <w:rsid w:val="492D0D13"/>
    <w:rsid w:val="49371861"/>
    <w:rsid w:val="494517EB"/>
    <w:rsid w:val="49695D74"/>
    <w:rsid w:val="496C1793"/>
    <w:rsid w:val="497B49A9"/>
    <w:rsid w:val="49836455"/>
    <w:rsid w:val="498409D0"/>
    <w:rsid w:val="499543E0"/>
    <w:rsid w:val="49BA104D"/>
    <w:rsid w:val="49C65E3D"/>
    <w:rsid w:val="49C93D19"/>
    <w:rsid w:val="49D1412C"/>
    <w:rsid w:val="49D148BC"/>
    <w:rsid w:val="49EA5661"/>
    <w:rsid w:val="49F3707C"/>
    <w:rsid w:val="4A094503"/>
    <w:rsid w:val="4A1B2163"/>
    <w:rsid w:val="4A215BF7"/>
    <w:rsid w:val="4A223953"/>
    <w:rsid w:val="4A2443D2"/>
    <w:rsid w:val="4A275032"/>
    <w:rsid w:val="4A2F0FEE"/>
    <w:rsid w:val="4A327E87"/>
    <w:rsid w:val="4A412D4C"/>
    <w:rsid w:val="4A467957"/>
    <w:rsid w:val="4A4A580F"/>
    <w:rsid w:val="4A532CF9"/>
    <w:rsid w:val="4A591C15"/>
    <w:rsid w:val="4A6F06C1"/>
    <w:rsid w:val="4A77749A"/>
    <w:rsid w:val="4A7A27F3"/>
    <w:rsid w:val="4A8462DA"/>
    <w:rsid w:val="4A8A55C1"/>
    <w:rsid w:val="4A920896"/>
    <w:rsid w:val="4A942715"/>
    <w:rsid w:val="4AA85D69"/>
    <w:rsid w:val="4AAE12AF"/>
    <w:rsid w:val="4AC20BC5"/>
    <w:rsid w:val="4AC3510D"/>
    <w:rsid w:val="4AC86078"/>
    <w:rsid w:val="4ACC51AC"/>
    <w:rsid w:val="4ADF4B77"/>
    <w:rsid w:val="4AE53D93"/>
    <w:rsid w:val="4AEC6016"/>
    <w:rsid w:val="4AF521D3"/>
    <w:rsid w:val="4AFC01F6"/>
    <w:rsid w:val="4B007EA6"/>
    <w:rsid w:val="4B034762"/>
    <w:rsid w:val="4B056FB3"/>
    <w:rsid w:val="4B0C5C1B"/>
    <w:rsid w:val="4B10503A"/>
    <w:rsid w:val="4B203EAD"/>
    <w:rsid w:val="4B247334"/>
    <w:rsid w:val="4B2D0A78"/>
    <w:rsid w:val="4B305B29"/>
    <w:rsid w:val="4B3319BD"/>
    <w:rsid w:val="4B3972C4"/>
    <w:rsid w:val="4B532995"/>
    <w:rsid w:val="4B5B63F1"/>
    <w:rsid w:val="4B5C237B"/>
    <w:rsid w:val="4B654D95"/>
    <w:rsid w:val="4B661DF2"/>
    <w:rsid w:val="4B697A19"/>
    <w:rsid w:val="4B6D2F35"/>
    <w:rsid w:val="4B7B0821"/>
    <w:rsid w:val="4B94344E"/>
    <w:rsid w:val="4B972559"/>
    <w:rsid w:val="4B9D441F"/>
    <w:rsid w:val="4BAF1783"/>
    <w:rsid w:val="4BB95EC5"/>
    <w:rsid w:val="4BBA0AB6"/>
    <w:rsid w:val="4BD35810"/>
    <w:rsid w:val="4BE455B5"/>
    <w:rsid w:val="4BF05FC3"/>
    <w:rsid w:val="4BFD14A1"/>
    <w:rsid w:val="4C0441ED"/>
    <w:rsid w:val="4C0C65AD"/>
    <w:rsid w:val="4C125932"/>
    <w:rsid w:val="4C244218"/>
    <w:rsid w:val="4C3E76A2"/>
    <w:rsid w:val="4C45734B"/>
    <w:rsid w:val="4C4A39CC"/>
    <w:rsid w:val="4C4B3E85"/>
    <w:rsid w:val="4C4F7ED9"/>
    <w:rsid w:val="4C613CB5"/>
    <w:rsid w:val="4C77654A"/>
    <w:rsid w:val="4CA26BF2"/>
    <w:rsid w:val="4CA31CB7"/>
    <w:rsid w:val="4CB73341"/>
    <w:rsid w:val="4CBD494A"/>
    <w:rsid w:val="4CC259AB"/>
    <w:rsid w:val="4CC82613"/>
    <w:rsid w:val="4CC94E7B"/>
    <w:rsid w:val="4CC95E63"/>
    <w:rsid w:val="4CE9429D"/>
    <w:rsid w:val="4CFA4936"/>
    <w:rsid w:val="4D090E4A"/>
    <w:rsid w:val="4D126743"/>
    <w:rsid w:val="4D174490"/>
    <w:rsid w:val="4D2F7AC9"/>
    <w:rsid w:val="4D395D21"/>
    <w:rsid w:val="4D411223"/>
    <w:rsid w:val="4D4F0C0D"/>
    <w:rsid w:val="4D544D6B"/>
    <w:rsid w:val="4D587BB1"/>
    <w:rsid w:val="4D5F2EEB"/>
    <w:rsid w:val="4D5F746D"/>
    <w:rsid w:val="4D6D36A4"/>
    <w:rsid w:val="4D7612BC"/>
    <w:rsid w:val="4DA42E3E"/>
    <w:rsid w:val="4DA611DD"/>
    <w:rsid w:val="4DAD413C"/>
    <w:rsid w:val="4DAE726F"/>
    <w:rsid w:val="4DB22CEE"/>
    <w:rsid w:val="4DB557B2"/>
    <w:rsid w:val="4DB85DE8"/>
    <w:rsid w:val="4DBD4210"/>
    <w:rsid w:val="4DC34694"/>
    <w:rsid w:val="4DE12B4C"/>
    <w:rsid w:val="4DF14809"/>
    <w:rsid w:val="4DF40D0B"/>
    <w:rsid w:val="4DF42922"/>
    <w:rsid w:val="4E0405FB"/>
    <w:rsid w:val="4E0C5E0B"/>
    <w:rsid w:val="4E11342F"/>
    <w:rsid w:val="4E21174E"/>
    <w:rsid w:val="4E2675FE"/>
    <w:rsid w:val="4E4A59B1"/>
    <w:rsid w:val="4E4F6905"/>
    <w:rsid w:val="4E5A7915"/>
    <w:rsid w:val="4E5C134A"/>
    <w:rsid w:val="4E636807"/>
    <w:rsid w:val="4E850AEE"/>
    <w:rsid w:val="4E8668BF"/>
    <w:rsid w:val="4E8872C1"/>
    <w:rsid w:val="4E8935CF"/>
    <w:rsid w:val="4EA66C72"/>
    <w:rsid w:val="4EA85E47"/>
    <w:rsid w:val="4EAA6361"/>
    <w:rsid w:val="4ED50D92"/>
    <w:rsid w:val="4EFC0214"/>
    <w:rsid w:val="4EFD3CB3"/>
    <w:rsid w:val="4F055572"/>
    <w:rsid w:val="4F146693"/>
    <w:rsid w:val="4F261C19"/>
    <w:rsid w:val="4F2A0894"/>
    <w:rsid w:val="4F39249D"/>
    <w:rsid w:val="4F455781"/>
    <w:rsid w:val="4F4F54DE"/>
    <w:rsid w:val="4F523970"/>
    <w:rsid w:val="4F54735A"/>
    <w:rsid w:val="4F6875A4"/>
    <w:rsid w:val="4F6B0A75"/>
    <w:rsid w:val="4F6C0B5C"/>
    <w:rsid w:val="4F732349"/>
    <w:rsid w:val="4F7A23EE"/>
    <w:rsid w:val="4F8C1333"/>
    <w:rsid w:val="4F8D2E3B"/>
    <w:rsid w:val="4F99667F"/>
    <w:rsid w:val="4F9E5FEF"/>
    <w:rsid w:val="4FA26F09"/>
    <w:rsid w:val="4FAD38E1"/>
    <w:rsid w:val="4FB03C8B"/>
    <w:rsid w:val="4FBA06F8"/>
    <w:rsid w:val="4FBA2BF6"/>
    <w:rsid w:val="4FBB2470"/>
    <w:rsid w:val="4FBB3132"/>
    <w:rsid w:val="4FBFE91F"/>
    <w:rsid w:val="4FC155E1"/>
    <w:rsid w:val="4FC22A5F"/>
    <w:rsid w:val="4FC76104"/>
    <w:rsid w:val="4FDE60D0"/>
    <w:rsid w:val="4FE958A7"/>
    <w:rsid w:val="4FF10934"/>
    <w:rsid w:val="50050846"/>
    <w:rsid w:val="501262BC"/>
    <w:rsid w:val="5019672F"/>
    <w:rsid w:val="501B5882"/>
    <w:rsid w:val="50286D6C"/>
    <w:rsid w:val="502A254F"/>
    <w:rsid w:val="50341FA2"/>
    <w:rsid w:val="50396A71"/>
    <w:rsid w:val="503E01CE"/>
    <w:rsid w:val="504223B3"/>
    <w:rsid w:val="50435DFC"/>
    <w:rsid w:val="5046141C"/>
    <w:rsid w:val="50593B33"/>
    <w:rsid w:val="505C6607"/>
    <w:rsid w:val="50926039"/>
    <w:rsid w:val="509335C3"/>
    <w:rsid w:val="50942575"/>
    <w:rsid w:val="509632F1"/>
    <w:rsid w:val="50995AD1"/>
    <w:rsid w:val="50A47B1F"/>
    <w:rsid w:val="50A866F2"/>
    <w:rsid w:val="50D25E9C"/>
    <w:rsid w:val="50E227F1"/>
    <w:rsid w:val="50E234E7"/>
    <w:rsid w:val="50F34F59"/>
    <w:rsid w:val="50F6575E"/>
    <w:rsid w:val="50FC5A47"/>
    <w:rsid w:val="510C6AE4"/>
    <w:rsid w:val="51183DC0"/>
    <w:rsid w:val="5121482B"/>
    <w:rsid w:val="512B2279"/>
    <w:rsid w:val="51447C93"/>
    <w:rsid w:val="51496E83"/>
    <w:rsid w:val="515229D5"/>
    <w:rsid w:val="51600B6C"/>
    <w:rsid w:val="51657B09"/>
    <w:rsid w:val="5177398B"/>
    <w:rsid w:val="51795621"/>
    <w:rsid w:val="517B2107"/>
    <w:rsid w:val="517C0339"/>
    <w:rsid w:val="517C574B"/>
    <w:rsid w:val="517E4CB9"/>
    <w:rsid w:val="51852253"/>
    <w:rsid w:val="519B570B"/>
    <w:rsid w:val="519D6304"/>
    <w:rsid w:val="51A66DDC"/>
    <w:rsid w:val="51AB7CFB"/>
    <w:rsid w:val="51B00003"/>
    <w:rsid w:val="51B178D7"/>
    <w:rsid w:val="51C82CDD"/>
    <w:rsid w:val="51CB6B92"/>
    <w:rsid w:val="51D00A61"/>
    <w:rsid w:val="51E51691"/>
    <w:rsid w:val="51E94728"/>
    <w:rsid w:val="51FB3990"/>
    <w:rsid w:val="52132727"/>
    <w:rsid w:val="5214752D"/>
    <w:rsid w:val="52170553"/>
    <w:rsid w:val="521F60BB"/>
    <w:rsid w:val="52244BD0"/>
    <w:rsid w:val="5225156F"/>
    <w:rsid w:val="525053E4"/>
    <w:rsid w:val="525C3E42"/>
    <w:rsid w:val="52636946"/>
    <w:rsid w:val="5267354E"/>
    <w:rsid w:val="52704C60"/>
    <w:rsid w:val="52724C34"/>
    <w:rsid w:val="528079D5"/>
    <w:rsid w:val="529E7E5B"/>
    <w:rsid w:val="52AB4987"/>
    <w:rsid w:val="52B00B6F"/>
    <w:rsid w:val="52CB1FE4"/>
    <w:rsid w:val="52CC67CD"/>
    <w:rsid w:val="52D94D61"/>
    <w:rsid w:val="52E311DC"/>
    <w:rsid w:val="52F45CCD"/>
    <w:rsid w:val="52F838CD"/>
    <w:rsid w:val="52FC22BF"/>
    <w:rsid w:val="53006874"/>
    <w:rsid w:val="531508A3"/>
    <w:rsid w:val="53191BD8"/>
    <w:rsid w:val="533A4F8C"/>
    <w:rsid w:val="53411481"/>
    <w:rsid w:val="53467175"/>
    <w:rsid w:val="534A1631"/>
    <w:rsid w:val="534B302D"/>
    <w:rsid w:val="53620253"/>
    <w:rsid w:val="536533D7"/>
    <w:rsid w:val="537440CF"/>
    <w:rsid w:val="537A4727"/>
    <w:rsid w:val="5380648C"/>
    <w:rsid w:val="53824D1A"/>
    <w:rsid w:val="53886295"/>
    <w:rsid w:val="538B0B78"/>
    <w:rsid w:val="5390117E"/>
    <w:rsid w:val="53982C2A"/>
    <w:rsid w:val="53AB477C"/>
    <w:rsid w:val="53B134C1"/>
    <w:rsid w:val="53B3356F"/>
    <w:rsid w:val="53B773E4"/>
    <w:rsid w:val="53BA5246"/>
    <w:rsid w:val="53C757DC"/>
    <w:rsid w:val="53C8780C"/>
    <w:rsid w:val="53CA16C3"/>
    <w:rsid w:val="53DC182E"/>
    <w:rsid w:val="53ED3BDC"/>
    <w:rsid w:val="53F16181"/>
    <w:rsid w:val="53F66BD0"/>
    <w:rsid w:val="53F83A87"/>
    <w:rsid w:val="54136812"/>
    <w:rsid w:val="54161C73"/>
    <w:rsid w:val="5416627A"/>
    <w:rsid w:val="541F76FE"/>
    <w:rsid w:val="5423576F"/>
    <w:rsid w:val="5424113C"/>
    <w:rsid w:val="54346C90"/>
    <w:rsid w:val="543619E2"/>
    <w:rsid w:val="54396B0C"/>
    <w:rsid w:val="54456C65"/>
    <w:rsid w:val="544D71DE"/>
    <w:rsid w:val="54561080"/>
    <w:rsid w:val="54576BFC"/>
    <w:rsid w:val="5467195F"/>
    <w:rsid w:val="546C12A1"/>
    <w:rsid w:val="546E4445"/>
    <w:rsid w:val="546E5C98"/>
    <w:rsid w:val="54713E4B"/>
    <w:rsid w:val="54882F43"/>
    <w:rsid w:val="548E4465"/>
    <w:rsid w:val="54A03C83"/>
    <w:rsid w:val="54A61409"/>
    <w:rsid w:val="54C0314D"/>
    <w:rsid w:val="54D3546D"/>
    <w:rsid w:val="54DB62D5"/>
    <w:rsid w:val="54DD1EAB"/>
    <w:rsid w:val="54E039BF"/>
    <w:rsid w:val="55022A94"/>
    <w:rsid w:val="551A6182"/>
    <w:rsid w:val="55476BE7"/>
    <w:rsid w:val="554E008A"/>
    <w:rsid w:val="555F7ECB"/>
    <w:rsid w:val="55662866"/>
    <w:rsid w:val="55676237"/>
    <w:rsid w:val="556F5CBC"/>
    <w:rsid w:val="55700FC7"/>
    <w:rsid w:val="55724D97"/>
    <w:rsid w:val="55760C1C"/>
    <w:rsid w:val="559C3D40"/>
    <w:rsid w:val="55AB374B"/>
    <w:rsid w:val="55AE023A"/>
    <w:rsid w:val="55B91842"/>
    <w:rsid w:val="55C4174B"/>
    <w:rsid w:val="55D607D4"/>
    <w:rsid w:val="55DB3F8F"/>
    <w:rsid w:val="55DE0B1E"/>
    <w:rsid w:val="55F72D6C"/>
    <w:rsid w:val="55FC1EE9"/>
    <w:rsid w:val="561F61EF"/>
    <w:rsid w:val="562670FC"/>
    <w:rsid w:val="563370D8"/>
    <w:rsid w:val="56403082"/>
    <w:rsid w:val="565B0E16"/>
    <w:rsid w:val="56613B3E"/>
    <w:rsid w:val="566443B2"/>
    <w:rsid w:val="566B1984"/>
    <w:rsid w:val="567315DD"/>
    <w:rsid w:val="567B0A88"/>
    <w:rsid w:val="5688158E"/>
    <w:rsid w:val="568A0F28"/>
    <w:rsid w:val="568F1B3E"/>
    <w:rsid w:val="569463B4"/>
    <w:rsid w:val="56A24CB6"/>
    <w:rsid w:val="56B940FB"/>
    <w:rsid w:val="56C56F28"/>
    <w:rsid w:val="56C67C56"/>
    <w:rsid w:val="56C73360"/>
    <w:rsid w:val="56CB143B"/>
    <w:rsid w:val="56E92B87"/>
    <w:rsid w:val="56F70D42"/>
    <w:rsid w:val="5702279C"/>
    <w:rsid w:val="571972BF"/>
    <w:rsid w:val="571F7C19"/>
    <w:rsid w:val="572C0108"/>
    <w:rsid w:val="5733344B"/>
    <w:rsid w:val="57496D95"/>
    <w:rsid w:val="574B0CAD"/>
    <w:rsid w:val="574F13D3"/>
    <w:rsid w:val="576E22C1"/>
    <w:rsid w:val="577A4379"/>
    <w:rsid w:val="577B095B"/>
    <w:rsid w:val="577B4897"/>
    <w:rsid w:val="578E12D9"/>
    <w:rsid w:val="578E5E0D"/>
    <w:rsid w:val="57A16DE8"/>
    <w:rsid w:val="57A16E5E"/>
    <w:rsid w:val="57A5233B"/>
    <w:rsid w:val="57BB2020"/>
    <w:rsid w:val="57C540DC"/>
    <w:rsid w:val="57C8652D"/>
    <w:rsid w:val="57E01B32"/>
    <w:rsid w:val="57FD36BD"/>
    <w:rsid w:val="58034A74"/>
    <w:rsid w:val="58070505"/>
    <w:rsid w:val="580911DE"/>
    <w:rsid w:val="581077E3"/>
    <w:rsid w:val="582F66F3"/>
    <w:rsid w:val="58411A5C"/>
    <w:rsid w:val="58523B82"/>
    <w:rsid w:val="586016A0"/>
    <w:rsid w:val="58652EE6"/>
    <w:rsid w:val="58666DB9"/>
    <w:rsid w:val="587738CD"/>
    <w:rsid w:val="589B7235"/>
    <w:rsid w:val="58AB30E5"/>
    <w:rsid w:val="58C57040"/>
    <w:rsid w:val="58C729AA"/>
    <w:rsid w:val="58C80654"/>
    <w:rsid w:val="58CD3414"/>
    <w:rsid w:val="58CF5213"/>
    <w:rsid w:val="58DE65AE"/>
    <w:rsid w:val="58F03474"/>
    <w:rsid w:val="590044B9"/>
    <w:rsid w:val="59301009"/>
    <w:rsid w:val="59335F8C"/>
    <w:rsid w:val="593804DA"/>
    <w:rsid w:val="5952468B"/>
    <w:rsid w:val="595C281E"/>
    <w:rsid w:val="596C39F6"/>
    <w:rsid w:val="59735022"/>
    <w:rsid w:val="597D4F00"/>
    <w:rsid w:val="59902C93"/>
    <w:rsid w:val="599744A9"/>
    <w:rsid w:val="599F13CF"/>
    <w:rsid w:val="59A00EBC"/>
    <w:rsid w:val="59A55F2E"/>
    <w:rsid w:val="59B406DC"/>
    <w:rsid w:val="59C5429E"/>
    <w:rsid w:val="59C63F80"/>
    <w:rsid w:val="59CA7BA3"/>
    <w:rsid w:val="59CB760E"/>
    <w:rsid w:val="59D34531"/>
    <w:rsid w:val="59D47EA6"/>
    <w:rsid w:val="59E24789"/>
    <w:rsid w:val="5A014879"/>
    <w:rsid w:val="5A053148"/>
    <w:rsid w:val="5A0E4190"/>
    <w:rsid w:val="5A2741A5"/>
    <w:rsid w:val="5A28613C"/>
    <w:rsid w:val="5A353A23"/>
    <w:rsid w:val="5A366F6E"/>
    <w:rsid w:val="5A392AD4"/>
    <w:rsid w:val="5A431EA2"/>
    <w:rsid w:val="5A45596A"/>
    <w:rsid w:val="5A5B225A"/>
    <w:rsid w:val="5A5C1222"/>
    <w:rsid w:val="5A6D30E7"/>
    <w:rsid w:val="5A706581"/>
    <w:rsid w:val="5A75209B"/>
    <w:rsid w:val="5A8416D8"/>
    <w:rsid w:val="5A843946"/>
    <w:rsid w:val="5A861B5A"/>
    <w:rsid w:val="5A9033F8"/>
    <w:rsid w:val="5A961224"/>
    <w:rsid w:val="5AA004E9"/>
    <w:rsid w:val="5AA438A0"/>
    <w:rsid w:val="5AC61B2F"/>
    <w:rsid w:val="5AC71BC3"/>
    <w:rsid w:val="5AD907C8"/>
    <w:rsid w:val="5ADC2A70"/>
    <w:rsid w:val="5ADD5946"/>
    <w:rsid w:val="5AEA62A4"/>
    <w:rsid w:val="5AEF41E9"/>
    <w:rsid w:val="5AF95760"/>
    <w:rsid w:val="5B010B56"/>
    <w:rsid w:val="5B0159FA"/>
    <w:rsid w:val="5B0A4D6B"/>
    <w:rsid w:val="5B0E450E"/>
    <w:rsid w:val="5B1D65DA"/>
    <w:rsid w:val="5B292EBE"/>
    <w:rsid w:val="5B2D2D8B"/>
    <w:rsid w:val="5B472E36"/>
    <w:rsid w:val="5B477EE0"/>
    <w:rsid w:val="5B5B0187"/>
    <w:rsid w:val="5B5B2DA1"/>
    <w:rsid w:val="5B811C5C"/>
    <w:rsid w:val="5B814302"/>
    <w:rsid w:val="5B83387C"/>
    <w:rsid w:val="5B8C7E5A"/>
    <w:rsid w:val="5B997D06"/>
    <w:rsid w:val="5BA842BD"/>
    <w:rsid w:val="5BB75B32"/>
    <w:rsid w:val="5BDD28E5"/>
    <w:rsid w:val="5BE44D03"/>
    <w:rsid w:val="5BEB7FC6"/>
    <w:rsid w:val="5BEF57B6"/>
    <w:rsid w:val="5BFC435B"/>
    <w:rsid w:val="5C1B5E74"/>
    <w:rsid w:val="5C1B69B4"/>
    <w:rsid w:val="5C260C61"/>
    <w:rsid w:val="5C2A00BE"/>
    <w:rsid w:val="5C373608"/>
    <w:rsid w:val="5C4656A3"/>
    <w:rsid w:val="5C7A51F7"/>
    <w:rsid w:val="5C8D11A2"/>
    <w:rsid w:val="5C8F1A56"/>
    <w:rsid w:val="5C9B695F"/>
    <w:rsid w:val="5C9C1AFF"/>
    <w:rsid w:val="5CA64207"/>
    <w:rsid w:val="5CAA2107"/>
    <w:rsid w:val="5CB614C5"/>
    <w:rsid w:val="5CC47E84"/>
    <w:rsid w:val="5CCA56FA"/>
    <w:rsid w:val="5CD25558"/>
    <w:rsid w:val="5CE21984"/>
    <w:rsid w:val="5CE2303B"/>
    <w:rsid w:val="5D082C49"/>
    <w:rsid w:val="5D0B24D3"/>
    <w:rsid w:val="5D0B53C9"/>
    <w:rsid w:val="5D103EA4"/>
    <w:rsid w:val="5D1218D4"/>
    <w:rsid w:val="5D30391E"/>
    <w:rsid w:val="5D46286C"/>
    <w:rsid w:val="5D467A6D"/>
    <w:rsid w:val="5D4E283B"/>
    <w:rsid w:val="5D607907"/>
    <w:rsid w:val="5D6B0612"/>
    <w:rsid w:val="5D6E05BD"/>
    <w:rsid w:val="5D941F71"/>
    <w:rsid w:val="5DAA2790"/>
    <w:rsid w:val="5DB14403"/>
    <w:rsid w:val="5DB33C74"/>
    <w:rsid w:val="5DB9455B"/>
    <w:rsid w:val="5DD27BC8"/>
    <w:rsid w:val="5DDA4491"/>
    <w:rsid w:val="5DE42F33"/>
    <w:rsid w:val="5DEB7E46"/>
    <w:rsid w:val="5DED4AF4"/>
    <w:rsid w:val="5DFA484F"/>
    <w:rsid w:val="5E066834"/>
    <w:rsid w:val="5E091EDD"/>
    <w:rsid w:val="5E0C650A"/>
    <w:rsid w:val="5E2225FA"/>
    <w:rsid w:val="5E271482"/>
    <w:rsid w:val="5E475D37"/>
    <w:rsid w:val="5E527469"/>
    <w:rsid w:val="5E5B69F3"/>
    <w:rsid w:val="5E62258E"/>
    <w:rsid w:val="5E6D0843"/>
    <w:rsid w:val="5E96791F"/>
    <w:rsid w:val="5E9A11A0"/>
    <w:rsid w:val="5EAB5963"/>
    <w:rsid w:val="5EB2277C"/>
    <w:rsid w:val="5EB33F7E"/>
    <w:rsid w:val="5ECA6180"/>
    <w:rsid w:val="5ED62298"/>
    <w:rsid w:val="5EDC2437"/>
    <w:rsid w:val="5EE7328D"/>
    <w:rsid w:val="5EE7415A"/>
    <w:rsid w:val="5EE91EDE"/>
    <w:rsid w:val="5EFA7C8E"/>
    <w:rsid w:val="5F0454EA"/>
    <w:rsid w:val="5F1319D5"/>
    <w:rsid w:val="5F1677BF"/>
    <w:rsid w:val="5F224268"/>
    <w:rsid w:val="5F233745"/>
    <w:rsid w:val="5F3E1134"/>
    <w:rsid w:val="5F4A46BF"/>
    <w:rsid w:val="5F4C18DC"/>
    <w:rsid w:val="5F4E328E"/>
    <w:rsid w:val="5F7F4311"/>
    <w:rsid w:val="5F84239C"/>
    <w:rsid w:val="5F88280C"/>
    <w:rsid w:val="5F8936C7"/>
    <w:rsid w:val="5FA12D37"/>
    <w:rsid w:val="5FB872E8"/>
    <w:rsid w:val="5FBC4017"/>
    <w:rsid w:val="5FE00FD3"/>
    <w:rsid w:val="5FE33352"/>
    <w:rsid w:val="5FE92A63"/>
    <w:rsid w:val="600B6A1E"/>
    <w:rsid w:val="600E728F"/>
    <w:rsid w:val="601D2D07"/>
    <w:rsid w:val="60331E53"/>
    <w:rsid w:val="604644D2"/>
    <w:rsid w:val="60732533"/>
    <w:rsid w:val="607B2104"/>
    <w:rsid w:val="60901A84"/>
    <w:rsid w:val="6095206E"/>
    <w:rsid w:val="609E0ECD"/>
    <w:rsid w:val="60A86132"/>
    <w:rsid w:val="60AD414D"/>
    <w:rsid w:val="60AE38ED"/>
    <w:rsid w:val="60B15BA6"/>
    <w:rsid w:val="60B72195"/>
    <w:rsid w:val="60C82638"/>
    <w:rsid w:val="60D000FD"/>
    <w:rsid w:val="60D32A33"/>
    <w:rsid w:val="60E45CDE"/>
    <w:rsid w:val="60F7747F"/>
    <w:rsid w:val="60FF972A"/>
    <w:rsid w:val="612D74BA"/>
    <w:rsid w:val="6152600B"/>
    <w:rsid w:val="618062EE"/>
    <w:rsid w:val="61841088"/>
    <w:rsid w:val="618A5043"/>
    <w:rsid w:val="61903321"/>
    <w:rsid w:val="619456E8"/>
    <w:rsid w:val="61997705"/>
    <w:rsid w:val="61A46482"/>
    <w:rsid w:val="61CE31A0"/>
    <w:rsid w:val="61E7408C"/>
    <w:rsid w:val="61F840C4"/>
    <w:rsid w:val="62042C9A"/>
    <w:rsid w:val="620D4661"/>
    <w:rsid w:val="621871C3"/>
    <w:rsid w:val="6224237B"/>
    <w:rsid w:val="623F650A"/>
    <w:rsid w:val="62402CDD"/>
    <w:rsid w:val="625076DA"/>
    <w:rsid w:val="62512462"/>
    <w:rsid w:val="625164F4"/>
    <w:rsid w:val="625B5A90"/>
    <w:rsid w:val="626E094E"/>
    <w:rsid w:val="627E55B4"/>
    <w:rsid w:val="628549FC"/>
    <w:rsid w:val="6292530C"/>
    <w:rsid w:val="62BE44B0"/>
    <w:rsid w:val="62C1252C"/>
    <w:rsid w:val="62E838DC"/>
    <w:rsid w:val="62EE098B"/>
    <w:rsid w:val="63046280"/>
    <w:rsid w:val="63102C9B"/>
    <w:rsid w:val="633C11BA"/>
    <w:rsid w:val="634A36E8"/>
    <w:rsid w:val="6352619B"/>
    <w:rsid w:val="63531363"/>
    <w:rsid w:val="63550FFD"/>
    <w:rsid w:val="63596047"/>
    <w:rsid w:val="635B122A"/>
    <w:rsid w:val="635D5138"/>
    <w:rsid w:val="63655161"/>
    <w:rsid w:val="63664140"/>
    <w:rsid w:val="636B26F2"/>
    <w:rsid w:val="636E1BFF"/>
    <w:rsid w:val="636F3C75"/>
    <w:rsid w:val="637257A4"/>
    <w:rsid w:val="637B6B52"/>
    <w:rsid w:val="637D2622"/>
    <w:rsid w:val="639504AA"/>
    <w:rsid w:val="63B03293"/>
    <w:rsid w:val="63BF2017"/>
    <w:rsid w:val="63C02664"/>
    <w:rsid w:val="63C7060D"/>
    <w:rsid w:val="63C83083"/>
    <w:rsid w:val="63CD69F6"/>
    <w:rsid w:val="63DE27AE"/>
    <w:rsid w:val="63EB4D1E"/>
    <w:rsid w:val="63F96DEB"/>
    <w:rsid w:val="63FA56BD"/>
    <w:rsid w:val="64004070"/>
    <w:rsid w:val="64051E19"/>
    <w:rsid w:val="640960A6"/>
    <w:rsid w:val="641653A5"/>
    <w:rsid w:val="64176411"/>
    <w:rsid w:val="641E15A4"/>
    <w:rsid w:val="64237B69"/>
    <w:rsid w:val="642B0448"/>
    <w:rsid w:val="64543A70"/>
    <w:rsid w:val="645F5DCF"/>
    <w:rsid w:val="646D6217"/>
    <w:rsid w:val="647A7EE4"/>
    <w:rsid w:val="6486679C"/>
    <w:rsid w:val="6488376F"/>
    <w:rsid w:val="649159EF"/>
    <w:rsid w:val="64943931"/>
    <w:rsid w:val="6496192C"/>
    <w:rsid w:val="64A36697"/>
    <w:rsid w:val="64AF4728"/>
    <w:rsid w:val="64B123D0"/>
    <w:rsid w:val="64B61035"/>
    <w:rsid w:val="64BA3952"/>
    <w:rsid w:val="64C60CA9"/>
    <w:rsid w:val="64D35D27"/>
    <w:rsid w:val="64DD5F1B"/>
    <w:rsid w:val="64DF0C82"/>
    <w:rsid w:val="64DF11AD"/>
    <w:rsid w:val="64E206F8"/>
    <w:rsid w:val="64EE5989"/>
    <w:rsid w:val="64F25C7A"/>
    <w:rsid w:val="64F332AD"/>
    <w:rsid w:val="650F1268"/>
    <w:rsid w:val="65195023"/>
    <w:rsid w:val="65243A2D"/>
    <w:rsid w:val="653A43C4"/>
    <w:rsid w:val="65617493"/>
    <w:rsid w:val="657A5081"/>
    <w:rsid w:val="65A672FB"/>
    <w:rsid w:val="65B81CB0"/>
    <w:rsid w:val="65BC2DCC"/>
    <w:rsid w:val="65BC5FBC"/>
    <w:rsid w:val="65D95AAA"/>
    <w:rsid w:val="65EC0A86"/>
    <w:rsid w:val="65FD2C93"/>
    <w:rsid w:val="66095072"/>
    <w:rsid w:val="66282150"/>
    <w:rsid w:val="663944B5"/>
    <w:rsid w:val="664B1E4F"/>
    <w:rsid w:val="6658495B"/>
    <w:rsid w:val="66667E54"/>
    <w:rsid w:val="667363C3"/>
    <w:rsid w:val="667752DE"/>
    <w:rsid w:val="6697418E"/>
    <w:rsid w:val="66AB4407"/>
    <w:rsid w:val="66AD1192"/>
    <w:rsid w:val="66AF1F82"/>
    <w:rsid w:val="66C0217F"/>
    <w:rsid w:val="66C60AE3"/>
    <w:rsid w:val="66C9535D"/>
    <w:rsid w:val="66D3490C"/>
    <w:rsid w:val="66DA2ADD"/>
    <w:rsid w:val="66EA0F89"/>
    <w:rsid w:val="66EA5D17"/>
    <w:rsid w:val="66F34C38"/>
    <w:rsid w:val="66F64874"/>
    <w:rsid w:val="67054826"/>
    <w:rsid w:val="670E33AA"/>
    <w:rsid w:val="67126F6E"/>
    <w:rsid w:val="67302D72"/>
    <w:rsid w:val="67492135"/>
    <w:rsid w:val="675070D4"/>
    <w:rsid w:val="675234D3"/>
    <w:rsid w:val="6757484D"/>
    <w:rsid w:val="676379A1"/>
    <w:rsid w:val="67821560"/>
    <w:rsid w:val="678E1EBF"/>
    <w:rsid w:val="67AD58C7"/>
    <w:rsid w:val="67B17DE3"/>
    <w:rsid w:val="67B2222B"/>
    <w:rsid w:val="67B57024"/>
    <w:rsid w:val="67C37D91"/>
    <w:rsid w:val="67C47A42"/>
    <w:rsid w:val="67C73229"/>
    <w:rsid w:val="67C732E7"/>
    <w:rsid w:val="67CF53CD"/>
    <w:rsid w:val="67E05BD2"/>
    <w:rsid w:val="67E73BFB"/>
    <w:rsid w:val="67F55BB6"/>
    <w:rsid w:val="680010CC"/>
    <w:rsid w:val="680567B3"/>
    <w:rsid w:val="681C5653"/>
    <w:rsid w:val="682F3C80"/>
    <w:rsid w:val="68320995"/>
    <w:rsid w:val="683404E0"/>
    <w:rsid w:val="683D61C3"/>
    <w:rsid w:val="68623356"/>
    <w:rsid w:val="68623502"/>
    <w:rsid w:val="68661CD2"/>
    <w:rsid w:val="68735226"/>
    <w:rsid w:val="687921ED"/>
    <w:rsid w:val="687B67CC"/>
    <w:rsid w:val="68850F51"/>
    <w:rsid w:val="6891413E"/>
    <w:rsid w:val="68A313FB"/>
    <w:rsid w:val="68A963D4"/>
    <w:rsid w:val="68AB2C06"/>
    <w:rsid w:val="68C81FAC"/>
    <w:rsid w:val="68E102B5"/>
    <w:rsid w:val="68E844F9"/>
    <w:rsid w:val="68EA5751"/>
    <w:rsid w:val="68EE70E9"/>
    <w:rsid w:val="68F43E72"/>
    <w:rsid w:val="68F4462A"/>
    <w:rsid w:val="68F70B3B"/>
    <w:rsid w:val="68FC5950"/>
    <w:rsid w:val="690704E4"/>
    <w:rsid w:val="690F743C"/>
    <w:rsid w:val="692E7F9D"/>
    <w:rsid w:val="6930094D"/>
    <w:rsid w:val="6936538C"/>
    <w:rsid w:val="695502F9"/>
    <w:rsid w:val="6957165D"/>
    <w:rsid w:val="695F286C"/>
    <w:rsid w:val="69643755"/>
    <w:rsid w:val="697A0DA9"/>
    <w:rsid w:val="697C282C"/>
    <w:rsid w:val="698C6A22"/>
    <w:rsid w:val="69954A11"/>
    <w:rsid w:val="69A50673"/>
    <w:rsid w:val="69BE410B"/>
    <w:rsid w:val="69CC30A8"/>
    <w:rsid w:val="69D205E5"/>
    <w:rsid w:val="69D270EE"/>
    <w:rsid w:val="69D27530"/>
    <w:rsid w:val="69EC172D"/>
    <w:rsid w:val="6A0E3791"/>
    <w:rsid w:val="6A1D605B"/>
    <w:rsid w:val="6A2B72D4"/>
    <w:rsid w:val="6A2E073A"/>
    <w:rsid w:val="6A315895"/>
    <w:rsid w:val="6A5958A9"/>
    <w:rsid w:val="6A5F4796"/>
    <w:rsid w:val="6A5F4C9A"/>
    <w:rsid w:val="6A62660E"/>
    <w:rsid w:val="6A66382B"/>
    <w:rsid w:val="6A6C69B3"/>
    <w:rsid w:val="6A70797F"/>
    <w:rsid w:val="6AA15F17"/>
    <w:rsid w:val="6AA378CA"/>
    <w:rsid w:val="6AA747F2"/>
    <w:rsid w:val="6AAE51B5"/>
    <w:rsid w:val="6AB60021"/>
    <w:rsid w:val="6ABE429A"/>
    <w:rsid w:val="6AC00D19"/>
    <w:rsid w:val="6ADA09C8"/>
    <w:rsid w:val="6AE663EC"/>
    <w:rsid w:val="6B1339E3"/>
    <w:rsid w:val="6B1C36CA"/>
    <w:rsid w:val="6B2D612C"/>
    <w:rsid w:val="6B514E55"/>
    <w:rsid w:val="6B563571"/>
    <w:rsid w:val="6B5C74E6"/>
    <w:rsid w:val="6B6F423A"/>
    <w:rsid w:val="6B7179E6"/>
    <w:rsid w:val="6B790904"/>
    <w:rsid w:val="6B792DBC"/>
    <w:rsid w:val="6B7C4F29"/>
    <w:rsid w:val="6BA240C1"/>
    <w:rsid w:val="6BA47FBE"/>
    <w:rsid w:val="6BA728E2"/>
    <w:rsid w:val="6BA74406"/>
    <w:rsid w:val="6BB65DBE"/>
    <w:rsid w:val="6BC43F45"/>
    <w:rsid w:val="6BCE67B1"/>
    <w:rsid w:val="6BD4012D"/>
    <w:rsid w:val="6BD850E6"/>
    <w:rsid w:val="6BDF045F"/>
    <w:rsid w:val="6BF54B38"/>
    <w:rsid w:val="6BF72511"/>
    <w:rsid w:val="6C070FE5"/>
    <w:rsid w:val="6C2D2379"/>
    <w:rsid w:val="6C3C277C"/>
    <w:rsid w:val="6C3F16A8"/>
    <w:rsid w:val="6C547AAC"/>
    <w:rsid w:val="6C576D1C"/>
    <w:rsid w:val="6C5B4ECA"/>
    <w:rsid w:val="6C6A06A0"/>
    <w:rsid w:val="6C6E0E49"/>
    <w:rsid w:val="6C72608C"/>
    <w:rsid w:val="6C7918CE"/>
    <w:rsid w:val="6C7B28A2"/>
    <w:rsid w:val="6C8103CD"/>
    <w:rsid w:val="6C836F45"/>
    <w:rsid w:val="6C92559D"/>
    <w:rsid w:val="6C9C3206"/>
    <w:rsid w:val="6C9C36D1"/>
    <w:rsid w:val="6C9D1673"/>
    <w:rsid w:val="6CB63C82"/>
    <w:rsid w:val="6CB865EB"/>
    <w:rsid w:val="6CD25B93"/>
    <w:rsid w:val="6CDC17AA"/>
    <w:rsid w:val="6CE13FCD"/>
    <w:rsid w:val="6CF16ECF"/>
    <w:rsid w:val="6CFA26FD"/>
    <w:rsid w:val="6CFF1421"/>
    <w:rsid w:val="6D024AA1"/>
    <w:rsid w:val="6D083298"/>
    <w:rsid w:val="6D0E341E"/>
    <w:rsid w:val="6D210AF0"/>
    <w:rsid w:val="6D213687"/>
    <w:rsid w:val="6D306D53"/>
    <w:rsid w:val="6D381541"/>
    <w:rsid w:val="6D4045B9"/>
    <w:rsid w:val="6D431F11"/>
    <w:rsid w:val="6D442C0E"/>
    <w:rsid w:val="6D4E2AF5"/>
    <w:rsid w:val="6D5613A4"/>
    <w:rsid w:val="6D634705"/>
    <w:rsid w:val="6D8259FE"/>
    <w:rsid w:val="6D921C73"/>
    <w:rsid w:val="6D9A148D"/>
    <w:rsid w:val="6D9E47BC"/>
    <w:rsid w:val="6DA2120A"/>
    <w:rsid w:val="6DA816D2"/>
    <w:rsid w:val="6DC72184"/>
    <w:rsid w:val="6DC9036D"/>
    <w:rsid w:val="6DE07122"/>
    <w:rsid w:val="6DE35E0E"/>
    <w:rsid w:val="6DF41B9D"/>
    <w:rsid w:val="6E02021E"/>
    <w:rsid w:val="6E0975F9"/>
    <w:rsid w:val="6E0B5C18"/>
    <w:rsid w:val="6E1502F9"/>
    <w:rsid w:val="6E18142C"/>
    <w:rsid w:val="6E312952"/>
    <w:rsid w:val="6E556039"/>
    <w:rsid w:val="6E5E30D2"/>
    <w:rsid w:val="6E62334F"/>
    <w:rsid w:val="6E626649"/>
    <w:rsid w:val="6E6C7DCD"/>
    <w:rsid w:val="6E6E4675"/>
    <w:rsid w:val="6E7E2B12"/>
    <w:rsid w:val="6E7E4186"/>
    <w:rsid w:val="6EB32419"/>
    <w:rsid w:val="6EC4033C"/>
    <w:rsid w:val="6EC758BF"/>
    <w:rsid w:val="6EC83DB4"/>
    <w:rsid w:val="6ECA3A12"/>
    <w:rsid w:val="6ECB42EA"/>
    <w:rsid w:val="6ECD732F"/>
    <w:rsid w:val="6ED13D5D"/>
    <w:rsid w:val="6EF24C3D"/>
    <w:rsid w:val="6EF82343"/>
    <w:rsid w:val="6EF831EE"/>
    <w:rsid w:val="6EFA2535"/>
    <w:rsid w:val="6F044942"/>
    <w:rsid w:val="6F087B96"/>
    <w:rsid w:val="6F1570A7"/>
    <w:rsid w:val="6F1D3421"/>
    <w:rsid w:val="6F1E7AC7"/>
    <w:rsid w:val="6F262934"/>
    <w:rsid w:val="6F296BF7"/>
    <w:rsid w:val="6F2D6DC2"/>
    <w:rsid w:val="6F3F210F"/>
    <w:rsid w:val="6F497819"/>
    <w:rsid w:val="6F4C5CFE"/>
    <w:rsid w:val="6F541B76"/>
    <w:rsid w:val="6F58183D"/>
    <w:rsid w:val="6F584CCA"/>
    <w:rsid w:val="6F5D1436"/>
    <w:rsid w:val="6F6A4A52"/>
    <w:rsid w:val="6F975F07"/>
    <w:rsid w:val="6FA25C0E"/>
    <w:rsid w:val="6FAE2E69"/>
    <w:rsid w:val="6FAF6937"/>
    <w:rsid w:val="6FBE04C0"/>
    <w:rsid w:val="6FC5031A"/>
    <w:rsid w:val="6FC94DD1"/>
    <w:rsid w:val="6FD0013C"/>
    <w:rsid w:val="6FDE5FB2"/>
    <w:rsid w:val="6FFF362A"/>
    <w:rsid w:val="700F1620"/>
    <w:rsid w:val="701028EE"/>
    <w:rsid w:val="701B6B38"/>
    <w:rsid w:val="7022349E"/>
    <w:rsid w:val="70384149"/>
    <w:rsid w:val="70390442"/>
    <w:rsid w:val="703D104F"/>
    <w:rsid w:val="703F19AB"/>
    <w:rsid w:val="704901DC"/>
    <w:rsid w:val="70542F72"/>
    <w:rsid w:val="70712581"/>
    <w:rsid w:val="707969DA"/>
    <w:rsid w:val="707A4DFA"/>
    <w:rsid w:val="707E4714"/>
    <w:rsid w:val="7080497B"/>
    <w:rsid w:val="708E32C4"/>
    <w:rsid w:val="70907CCA"/>
    <w:rsid w:val="70AD6382"/>
    <w:rsid w:val="70BC0936"/>
    <w:rsid w:val="70BD7BEF"/>
    <w:rsid w:val="70CE610F"/>
    <w:rsid w:val="70DD4278"/>
    <w:rsid w:val="70E1288F"/>
    <w:rsid w:val="70E25AC9"/>
    <w:rsid w:val="71054906"/>
    <w:rsid w:val="710617A6"/>
    <w:rsid w:val="710B2A94"/>
    <w:rsid w:val="710E3FA6"/>
    <w:rsid w:val="711726A0"/>
    <w:rsid w:val="711E536E"/>
    <w:rsid w:val="71243125"/>
    <w:rsid w:val="713258D5"/>
    <w:rsid w:val="71330571"/>
    <w:rsid w:val="714A270C"/>
    <w:rsid w:val="715D55D4"/>
    <w:rsid w:val="71645006"/>
    <w:rsid w:val="71762C3F"/>
    <w:rsid w:val="71763E08"/>
    <w:rsid w:val="717B17DA"/>
    <w:rsid w:val="718E6184"/>
    <w:rsid w:val="71926B86"/>
    <w:rsid w:val="719B2D15"/>
    <w:rsid w:val="71A965F1"/>
    <w:rsid w:val="71B37015"/>
    <w:rsid w:val="71B77EF3"/>
    <w:rsid w:val="71B85066"/>
    <w:rsid w:val="71BA49D3"/>
    <w:rsid w:val="71C56AAF"/>
    <w:rsid w:val="71DB083F"/>
    <w:rsid w:val="71DB76B3"/>
    <w:rsid w:val="71EA496D"/>
    <w:rsid w:val="71EE7BB9"/>
    <w:rsid w:val="71F37FA1"/>
    <w:rsid w:val="71F93EEF"/>
    <w:rsid w:val="720D425E"/>
    <w:rsid w:val="72335873"/>
    <w:rsid w:val="72373118"/>
    <w:rsid w:val="7239305C"/>
    <w:rsid w:val="723F649A"/>
    <w:rsid w:val="72411E6F"/>
    <w:rsid w:val="72547950"/>
    <w:rsid w:val="7265010A"/>
    <w:rsid w:val="726E4E62"/>
    <w:rsid w:val="72712F26"/>
    <w:rsid w:val="727365AD"/>
    <w:rsid w:val="72982CD9"/>
    <w:rsid w:val="729E502D"/>
    <w:rsid w:val="729F6509"/>
    <w:rsid w:val="72A72C03"/>
    <w:rsid w:val="72A93380"/>
    <w:rsid w:val="72AA6BF7"/>
    <w:rsid w:val="72AE77EF"/>
    <w:rsid w:val="72D24353"/>
    <w:rsid w:val="72D46D1C"/>
    <w:rsid w:val="72D651C0"/>
    <w:rsid w:val="73006A3D"/>
    <w:rsid w:val="73015B8E"/>
    <w:rsid w:val="73160702"/>
    <w:rsid w:val="732A151E"/>
    <w:rsid w:val="735D06CE"/>
    <w:rsid w:val="735D2FC3"/>
    <w:rsid w:val="73702652"/>
    <w:rsid w:val="73750FD3"/>
    <w:rsid w:val="738458DD"/>
    <w:rsid w:val="739015EB"/>
    <w:rsid w:val="73BE0769"/>
    <w:rsid w:val="73D23E37"/>
    <w:rsid w:val="73DB21DD"/>
    <w:rsid w:val="73F300BA"/>
    <w:rsid w:val="73F45EAD"/>
    <w:rsid w:val="73FF3819"/>
    <w:rsid w:val="740D44C0"/>
    <w:rsid w:val="740D5F8C"/>
    <w:rsid w:val="74200443"/>
    <w:rsid w:val="742305C1"/>
    <w:rsid w:val="742B6283"/>
    <w:rsid w:val="74364024"/>
    <w:rsid w:val="74373679"/>
    <w:rsid w:val="74695CF9"/>
    <w:rsid w:val="746A3345"/>
    <w:rsid w:val="747A1CB1"/>
    <w:rsid w:val="74866C0A"/>
    <w:rsid w:val="748F7D86"/>
    <w:rsid w:val="74966E46"/>
    <w:rsid w:val="749F527F"/>
    <w:rsid w:val="74B472B5"/>
    <w:rsid w:val="74C66262"/>
    <w:rsid w:val="74E10D77"/>
    <w:rsid w:val="74E325C4"/>
    <w:rsid w:val="74E5153B"/>
    <w:rsid w:val="74E90464"/>
    <w:rsid w:val="74FA6020"/>
    <w:rsid w:val="75003F73"/>
    <w:rsid w:val="750750EC"/>
    <w:rsid w:val="750B55C5"/>
    <w:rsid w:val="751A1F1B"/>
    <w:rsid w:val="752D7025"/>
    <w:rsid w:val="75333530"/>
    <w:rsid w:val="75486259"/>
    <w:rsid w:val="75524704"/>
    <w:rsid w:val="75583D8F"/>
    <w:rsid w:val="75591C4A"/>
    <w:rsid w:val="757F6756"/>
    <w:rsid w:val="759C484C"/>
    <w:rsid w:val="75B94E29"/>
    <w:rsid w:val="75BC7A1B"/>
    <w:rsid w:val="75C335B1"/>
    <w:rsid w:val="75E259FF"/>
    <w:rsid w:val="75E61C2D"/>
    <w:rsid w:val="75F26146"/>
    <w:rsid w:val="761309E5"/>
    <w:rsid w:val="76147835"/>
    <w:rsid w:val="76165272"/>
    <w:rsid w:val="76280860"/>
    <w:rsid w:val="763C7D38"/>
    <w:rsid w:val="764B5444"/>
    <w:rsid w:val="76643804"/>
    <w:rsid w:val="766C509E"/>
    <w:rsid w:val="76782A6E"/>
    <w:rsid w:val="76835605"/>
    <w:rsid w:val="76850FB1"/>
    <w:rsid w:val="768C085D"/>
    <w:rsid w:val="76915EC7"/>
    <w:rsid w:val="769C2B1A"/>
    <w:rsid w:val="76A003C4"/>
    <w:rsid w:val="76AA11E8"/>
    <w:rsid w:val="76AA29C3"/>
    <w:rsid w:val="76BB3A46"/>
    <w:rsid w:val="76BC56BE"/>
    <w:rsid w:val="76DC333B"/>
    <w:rsid w:val="76E675ED"/>
    <w:rsid w:val="76EA4FA3"/>
    <w:rsid w:val="76EC1FC0"/>
    <w:rsid w:val="76FE31D8"/>
    <w:rsid w:val="76FF3B76"/>
    <w:rsid w:val="77076F00"/>
    <w:rsid w:val="77096DBC"/>
    <w:rsid w:val="77101D33"/>
    <w:rsid w:val="77105D82"/>
    <w:rsid w:val="77163FF8"/>
    <w:rsid w:val="77177FDF"/>
    <w:rsid w:val="771A70E0"/>
    <w:rsid w:val="771E0016"/>
    <w:rsid w:val="772C4957"/>
    <w:rsid w:val="774664E7"/>
    <w:rsid w:val="776955B7"/>
    <w:rsid w:val="776E1377"/>
    <w:rsid w:val="778724E6"/>
    <w:rsid w:val="779B3C18"/>
    <w:rsid w:val="77AC1B49"/>
    <w:rsid w:val="77B0721B"/>
    <w:rsid w:val="77B242AC"/>
    <w:rsid w:val="77CF3017"/>
    <w:rsid w:val="77DE18EF"/>
    <w:rsid w:val="77DE3B22"/>
    <w:rsid w:val="77EA74F0"/>
    <w:rsid w:val="78005192"/>
    <w:rsid w:val="780B4F1E"/>
    <w:rsid w:val="780D6743"/>
    <w:rsid w:val="780E2ADE"/>
    <w:rsid w:val="78503B18"/>
    <w:rsid w:val="785142A0"/>
    <w:rsid w:val="785F4441"/>
    <w:rsid w:val="78656BB1"/>
    <w:rsid w:val="789360EA"/>
    <w:rsid w:val="78962CF3"/>
    <w:rsid w:val="789D0277"/>
    <w:rsid w:val="789F140E"/>
    <w:rsid w:val="78A840B7"/>
    <w:rsid w:val="78B20E31"/>
    <w:rsid w:val="78B3767B"/>
    <w:rsid w:val="78B7546C"/>
    <w:rsid w:val="78E073BA"/>
    <w:rsid w:val="78EF5F5B"/>
    <w:rsid w:val="78F42595"/>
    <w:rsid w:val="78FB21E6"/>
    <w:rsid w:val="79117830"/>
    <w:rsid w:val="791A06C5"/>
    <w:rsid w:val="791D4B8B"/>
    <w:rsid w:val="791E60C0"/>
    <w:rsid w:val="792112F5"/>
    <w:rsid w:val="794F718F"/>
    <w:rsid w:val="7959097A"/>
    <w:rsid w:val="79657DC9"/>
    <w:rsid w:val="796F64F5"/>
    <w:rsid w:val="79702989"/>
    <w:rsid w:val="798E1015"/>
    <w:rsid w:val="79A71EE2"/>
    <w:rsid w:val="79D42231"/>
    <w:rsid w:val="79D74322"/>
    <w:rsid w:val="79E515A2"/>
    <w:rsid w:val="79E665D1"/>
    <w:rsid w:val="79ECADE6"/>
    <w:rsid w:val="79F5238D"/>
    <w:rsid w:val="7A107EB5"/>
    <w:rsid w:val="7A11278F"/>
    <w:rsid w:val="7A146EB9"/>
    <w:rsid w:val="7A1C0329"/>
    <w:rsid w:val="7A1E07D7"/>
    <w:rsid w:val="7A1F4DB9"/>
    <w:rsid w:val="7A213CB7"/>
    <w:rsid w:val="7A2977C9"/>
    <w:rsid w:val="7A2B2DAA"/>
    <w:rsid w:val="7A3B3290"/>
    <w:rsid w:val="7A526EB6"/>
    <w:rsid w:val="7A560E98"/>
    <w:rsid w:val="7A5B1A20"/>
    <w:rsid w:val="7A607B0B"/>
    <w:rsid w:val="7A676ADC"/>
    <w:rsid w:val="7A811044"/>
    <w:rsid w:val="7AC07032"/>
    <w:rsid w:val="7AD2154F"/>
    <w:rsid w:val="7AD27463"/>
    <w:rsid w:val="7ADE05E1"/>
    <w:rsid w:val="7AF647CD"/>
    <w:rsid w:val="7AFA67EB"/>
    <w:rsid w:val="7B015AEF"/>
    <w:rsid w:val="7B035550"/>
    <w:rsid w:val="7B28216C"/>
    <w:rsid w:val="7B386FB2"/>
    <w:rsid w:val="7B495BC9"/>
    <w:rsid w:val="7B4F798B"/>
    <w:rsid w:val="7B712167"/>
    <w:rsid w:val="7B8D5688"/>
    <w:rsid w:val="7B974B60"/>
    <w:rsid w:val="7B9B1E52"/>
    <w:rsid w:val="7B9C2C27"/>
    <w:rsid w:val="7BA4733E"/>
    <w:rsid w:val="7BA65D29"/>
    <w:rsid w:val="7BB91A25"/>
    <w:rsid w:val="7BBE3EFB"/>
    <w:rsid w:val="7BF92B4E"/>
    <w:rsid w:val="7BF94CC3"/>
    <w:rsid w:val="7C064D1E"/>
    <w:rsid w:val="7C0A7468"/>
    <w:rsid w:val="7C1A76B4"/>
    <w:rsid w:val="7C1B666B"/>
    <w:rsid w:val="7C2052F4"/>
    <w:rsid w:val="7C266648"/>
    <w:rsid w:val="7C283EC7"/>
    <w:rsid w:val="7C2A7D28"/>
    <w:rsid w:val="7C350807"/>
    <w:rsid w:val="7C3773ED"/>
    <w:rsid w:val="7C3F46E8"/>
    <w:rsid w:val="7C4B7A2E"/>
    <w:rsid w:val="7C5143D4"/>
    <w:rsid w:val="7C746C8B"/>
    <w:rsid w:val="7C776578"/>
    <w:rsid w:val="7C815FEA"/>
    <w:rsid w:val="7C873AF2"/>
    <w:rsid w:val="7C884B0F"/>
    <w:rsid w:val="7C9326DF"/>
    <w:rsid w:val="7C9A0443"/>
    <w:rsid w:val="7C9D42C4"/>
    <w:rsid w:val="7CA07B6F"/>
    <w:rsid w:val="7CB26F88"/>
    <w:rsid w:val="7CB31E2A"/>
    <w:rsid w:val="7CB77BE8"/>
    <w:rsid w:val="7CBB76D8"/>
    <w:rsid w:val="7CD33BE4"/>
    <w:rsid w:val="7CE56502"/>
    <w:rsid w:val="7CE6F464"/>
    <w:rsid w:val="7CF53BEC"/>
    <w:rsid w:val="7CF848DE"/>
    <w:rsid w:val="7CFD0680"/>
    <w:rsid w:val="7D120AF1"/>
    <w:rsid w:val="7D12172D"/>
    <w:rsid w:val="7D1A797F"/>
    <w:rsid w:val="7D1E73E8"/>
    <w:rsid w:val="7D271D3C"/>
    <w:rsid w:val="7D4102FC"/>
    <w:rsid w:val="7D433D07"/>
    <w:rsid w:val="7D457368"/>
    <w:rsid w:val="7D5F21F0"/>
    <w:rsid w:val="7D6340C0"/>
    <w:rsid w:val="7D786A0B"/>
    <w:rsid w:val="7D846AA5"/>
    <w:rsid w:val="7D9E259E"/>
    <w:rsid w:val="7DC1163E"/>
    <w:rsid w:val="7DE36F03"/>
    <w:rsid w:val="7DE8766F"/>
    <w:rsid w:val="7DEA36B0"/>
    <w:rsid w:val="7E124DDD"/>
    <w:rsid w:val="7E1517D0"/>
    <w:rsid w:val="7E201E65"/>
    <w:rsid w:val="7E573C7E"/>
    <w:rsid w:val="7E6906AC"/>
    <w:rsid w:val="7E6D3CB8"/>
    <w:rsid w:val="7E8D4E8D"/>
    <w:rsid w:val="7E8F6AB1"/>
    <w:rsid w:val="7E99316E"/>
    <w:rsid w:val="7EA56E0E"/>
    <w:rsid w:val="7EAA1925"/>
    <w:rsid w:val="7EAC0CCA"/>
    <w:rsid w:val="7EB2237C"/>
    <w:rsid w:val="7EB82744"/>
    <w:rsid w:val="7EC50FC0"/>
    <w:rsid w:val="7EEC2E8F"/>
    <w:rsid w:val="7EF16600"/>
    <w:rsid w:val="7EF5273B"/>
    <w:rsid w:val="7F0052B9"/>
    <w:rsid w:val="7F0E21F9"/>
    <w:rsid w:val="7F250E39"/>
    <w:rsid w:val="7F25232A"/>
    <w:rsid w:val="7F3E6F19"/>
    <w:rsid w:val="7F417B11"/>
    <w:rsid w:val="7F4478E2"/>
    <w:rsid w:val="7F525DDE"/>
    <w:rsid w:val="7F5317F9"/>
    <w:rsid w:val="7F56502C"/>
    <w:rsid w:val="7F5A69FB"/>
    <w:rsid w:val="7F616C82"/>
    <w:rsid w:val="7F68683E"/>
    <w:rsid w:val="7F6964DA"/>
    <w:rsid w:val="7F6B2BDD"/>
    <w:rsid w:val="7FA36B5B"/>
    <w:rsid w:val="7FAE568D"/>
    <w:rsid w:val="7FBB7532"/>
    <w:rsid w:val="7FBE3315"/>
    <w:rsid w:val="7FC718AA"/>
    <w:rsid w:val="7FD11B39"/>
    <w:rsid w:val="7FD445F7"/>
    <w:rsid w:val="7FDD612B"/>
    <w:rsid w:val="7FE222C7"/>
    <w:rsid w:val="7FE94CCC"/>
    <w:rsid w:val="7FF83CF7"/>
    <w:rsid w:val="BEAD17B6"/>
    <w:rsid w:val="DAF77AFC"/>
    <w:rsid w:val="FE291836"/>
    <w:rsid w:val="FEEAB3E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99" w:semiHidden="0"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1044" w:firstLineChars="200"/>
      <w:jc w:val="both"/>
    </w:pPr>
    <w:rPr>
      <w:rFonts w:ascii="Times New Roman" w:hAnsi="Times New Roman" w:eastAsia="仿宋" w:cs="Times New Roman"/>
      <w:kern w:val="2"/>
      <w:sz w:val="28"/>
      <w:szCs w:val="24"/>
      <w:lang w:val="en-US" w:eastAsia="zh-CN" w:bidi="ar-SA"/>
    </w:rPr>
  </w:style>
  <w:style w:type="paragraph" w:styleId="2">
    <w:name w:val="heading 1"/>
    <w:basedOn w:val="1"/>
    <w:next w:val="1"/>
    <w:link w:val="39"/>
    <w:qFormat/>
    <w:uiPriority w:val="0"/>
    <w:pPr>
      <w:keepNext/>
      <w:keepLines/>
      <w:spacing w:line="360" w:lineRule="auto"/>
      <w:ind w:firstLine="1044" w:firstLineChars="200"/>
      <w:outlineLvl w:val="0"/>
    </w:pPr>
    <w:rPr>
      <w:b/>
      <w:bCs/>
      <w:kern w:val="44"/>
      <w:sz w:val="36"/>
      <w:szCs w:val="44"/>
    </w:rPr>
  </w:style>
  <w:style w:type="paragraph" w:styleId="3">
    <w:name w:val="heading 2"/>
    <w:basedOn w:val="1"/>
    <w:next w:val="4"/>
    <w:link w:val="40"/>
    <w:qFormat/>
    <w:uiPriority w:val="0"/>
    <w:pPr>
      <w:keepNext/>
      <w:keepLines/>
      <w:snapToGrid w:val="0"/>
      <w:spacing w:line="360" w:lineRule="auto"/>
      <w:ind w:firstLine="1044" w:firstLineChars="200"/>
      <w:jc w:val="both"/>
      <w:outlineLvl w:val="1"/>
    </w:pPr>
    <w:rPr>
      <w:b/>
      <w:bCs/>
      <w:sz w:val="32"/>
      <w:szCs w:val="32"/>
    </w:rPr>
  </w:style>
  <w:style w:type="paragraph" w:styleId="5">
    <w:name w:val="heading 3"/>
    <w:basedOn w:val="1"/>
    <w:next w:val="1"/>
    <w:link w:val="54"/>
    <w:qFormat/>
    <w:uiPriority w:val="0"/>
    <w:pPr>
      <w:keepNext/>
      <w:keepLines/>
      <w:spacing w:line="360" w:lineRule="auto"/>
      <w:ind w:firstLine="1044" w:firstLineChars="200"/>
      <w:outlineLvl w:val="2"/>
    </w:pPr>
    <w:rPr>
      <w:b/>
      <w:bCs/>
      <w:szCs w:val="32"/>
    </w:rPr>
  </w:style>
  <w:style w:type="paragraph" w:styleId="6">
    <w:name w:val="heading 4"/>
    <w:basedOn w:val="1"/>
    <w:next w:val="4"/>
    <w:link w:val="43"/>
    <w:qFormat/>
    <w:uiPriority w:val="0"/>
    <w:pPr>
      <w:keepNext/>
      <w:keepLines/>
      <w:snapToGrid w:val="0"/>
      <w:spacing w:before="100" w:after="100" w:line="360" w:lineRule="auto"/>
      <w:ind w:firstLine="1044" w:firstLineChars="200"/>
      <w:outlineLvl w:val="3"/>
    </w:pPr>
    <w:rPr>
      <w:rFonts w:ascii="Cambria" w:hAnsi="Cambria"/>
      <w:b/>
      <w:bCs/>
      <w:szCs w:val="28"/>
    </w:rPr>
  </w:style>
  <w:style w:type="character" w:default="1" w:styleId="31">
    <w:name w:val="Default Paragraph Font"/>
    <w:link w:val="32"/>
    <w:unhideWhenUsed/>
    <w:qFormat/>
    <w:uiPriority w:val="1"/>
    <w:rPr>
      <w:rFonts w:eastAsia="仿宋_GB2312"/>
      <w:sz w:val="24"/>
      <w:szCs w:val="24"/>
    </w:rPr>
  </w:style>
  <w:style w:type="table" w:default="1" w:styleId="29">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4">
    <w:name w:val="Normal Indent"/>
    <w:basedOn w:val="1"/>
    <w:link w:val="53"/>
    <w:qFormat/>
    <w:uiPriority w:val="0"/>
    <w:pPr>
      <w:ind w:firstLine="420" w:firstLineChars="200"/>
    </w:pPr>
    <w:rPr>
      <w:rFonts w:ascii="Calibri" w:hAnsi="Calibri"/>
    </w:rPr>
  </w:style>
  <w:style w:type="paragraph" w:styleId="7">
    <w:name w:val="toc 7"/>
    <w:basedOn w:val="1"/>
    <w:next w:val="1"/>
    <w:qFormat/>
    <w:uiPriority w:val="39"/>
    <w:pPr>
      <w:ind w:left="1260"/>
      <w:jc w:val="left"/>
    </w:pPr>
    <w:rPr>
      <w:sz w:val="18"/>
      <w:szCs w:val="18"/>
    </w:rPr>
  </w:style>
  <w:style w:type="paragraph" w:styleId="8">
    <w:name w:val="index 8"/>
    <w:basedOn w:val="1"/>
    <w:next w:val="1"/>
    <w:unhideWhenUsed/>
    <w:qFormat/>
    <w:uiPriority w:val="99"/>
    <w:pPr>
      <w:keepNext w:val="0"/>
      <w:keepLines w:val="0"/>
      <w:widowControl w:val="0"/>
      <w:suppressLineNumbers w:val="0"/>
      <w:spacing w:before="0" w:beforeAutospacing="0" w:after="0" w:afterAutospacing="0"/>
      <w:ind w:left="1400" w:leftChars="1400" w:right="0"/>
      <w:jc w:val="both"/>
    </w:pPr>
    <w:rPr>
      <w:rFonts w:hint="default" w:ascii="Calibri" w:hAnsi="Calibri" w:eastAsia="宋体" w:cs="Times New Roman"/>
      <w:kern w:val="2"/>
      <w:sz w:val="21"/>
      <w:szCs w:val="22"/>
      <w:lang w:val="en-US" w:eastAsia="zh-CN" w:bidi="ar"/>
    </w:rPr>
  </w:style>
  <w:style w:type="paragraph" w:styleId="9">
    <w:name w:val="Document Map"/>
    <w:basedOn w:val="1"/>
    <w:link w:val="44"/>
    <w:unhideWhenUsed/>
    <w:qFormat/>
    <w:uiPriority w:val="99"/>
    <w:rPr>
      <w:rFonts w:ascii="宋体"/>
      <w:sz w:val="18"/>
      <w:szCs w:val="18"/>
    </w:rPr>
  </w:style>
  <w:style w:type="paragraph" w:styleId="10">
    <w:name w:val="annotation text"/>
    <w:basedOn w:val="1"/>
    <w:link w:val="45"/>
    <w:unhideWhenUsed/>
    <w:qFormat/>
    <w:uiPriority w:val="99"/>
    <w:pPr>
      <w:jc w:val="left"/>
    </w:pPr>
  </w:style>
  <w:style w:type="paragraph" w:styleId="11">
    <w:name w:val="Body Text"/>
    <w:basedOn w:val="1"/>
    <w:link w:val="46"/>
    <w:qFormat/>
    <w:uiPriority w:val="0"/>
    <w:pPr>
      <w:spacing w:after="120"/>
    </w:pPr>
  </w:style>
  <w:style w:type="paragraph" w:styleId="12">
    <w:name w:val="Body Text Indent"/>
    <w:basedOn w:val="1"/>
    <w:qFormat/>
    <w:uiPriority w:val="0"/>
    <w:pPr>
      <w:spacing w:line="300" w:lineRule="auto"/>
      <w:ind w:firstLine="480" w:firstLineChars="200"/>
    </w:pPr>
    <w:rPr>
      <w:sz w:val="24"/>
    </w:rPr>
  </w:style>
  <w:style w:type="paragraph" w:styleId="13">
    <w:name w:val="toc 5"/>
    <w:basedOn w:val="1"/>
    <w:next w:val="1"/>
    <w:qFormat/>
    <w:uiPriority w:val="39"/>
    <w:pPr>
      <w:ind w:left="840"/>
      <w:jc w:val="left"/>
    </w:pPr>
    <w:rPr>
      <w:sz w:val="18"/>
      <w:szCs w:val="18"/>
    </w:rPr>
  </w:style>
  <w:style w:type="paragraph" w:styleId="14">
    <w:name w:val="toc 3"/>
    <w:basedOn w:val="1"/>
    <w:next w:val="1"/>
    <w:qFormat/>
    <w:uiPriority w:val="39"/>
    <w:pPr>
      <w:ind w:left="420"/>
      <w:jc w:val="left"/>
    </w:pPr>
    <w:rPr>
      <w:i/>
      <w:iCs/>
      <w:sz w:val="20"/>
      <w:szCs w:val="20"/>
    </w:rPr>
  </w:style>
  <w:style w:type="paragraph" w:styleId="15">
    <w:name w:val="Plain Text"/>
    <w:basedOn w:val="1"/>
    <w:link w:val="47"/>
    <w:qFormat/>
    <w:uiPriority w:val="0"/>
    <w:pPr>
      <w:autoSpaceDE w:val="0"/>
      <w:autoSpaceDN w:val="0"/>
      <w:adjustRightInd w:val="0"/>
      <w:textAlignment w:val="baseline"/>
    </w:pPr>
    <w:rPr>
      <w:rFonts w:ascii="宋体" w:eastAsia="宋体"/>
      <w:kern w:val="2"/>
      <w:sz w:val="21"/>
      <w:lang w:val="en-US" w:eastAsia="zh-CN" w:bidi="ar-SA"/>
    </w:rPr>
  </w:style>
  <w:style w:type="paragraph" w:styleId="16">
    <w:name w:val="toc 8"/>
    <w:basedOn w:val="1"/>
    <w:next w:val="1"/>
    <w:qFormat/>
    <w:uiPriority w:val="39"/>
    <w:pPr>
      <w:ind w:left="1470"/>
      <w:jc w:val="left"/>
    </w:pPr>
    <w:rPr>
      <w:sz w:val="18"/>
      <w:szCs w:val="18"/>
    </w:rPr>
  </w:style>
  <w:style w:type="paragraph" w:styleId="17">
    <w:name w:val="Balloon Text"/>
    <w:basedOn w:val="1"/>
    <w:link w:val="48"/>
    <w:unhideWhenUsed/>
    <w:qFormat/>
    <w:uiPriority w:val="99"/>
    <w:rPr>
      <w:sz w:val="18"/>
      <w:szCs w:val="18"/>
    </w:rPr>
  </w:style>
  <w:style w:type="paragraph" w:styleId="18">
    <w:name w:val="footer"/>
    <w:basedOn w:val="1"/>
    <w:link w:val="49"/>
    <w:unhideWhenUsed/>
    <w:qFormat/>
    <w:uiPriority w:val="0"/>
    <w:pPr>
      <w:tabs>
        <w:tab w:val="center" w:pos="4153"/>
        <w:tab w:val="right" w:pos="8306"/>
      </w:tabs>
      <w:snapToGrid w:val="0"/>
      <w:jc w:val="left"/>
    </w:pPr>
    <w:rPr>
      <w:rFonts w:ascii="Calibri" w:hAnsi="Calibri"/>
      <w:kern w:val="0"/>
      <w:sz w:val="18"/>
      <w:szCs w:val="18"/>
    </w:rPr>
  </w:style>
  <w:style w:type="paragraph" w:styleId="19">
    <w:name w:val="header"/>
    <w:basedOn w:val="1"/>
    <w:next w:val="1"/>
    <w:link w:val="50"/>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20">
    <w:name w:val="toc 1"/>
    <w:basedOn w:val="1"/>
    <w:next w:val="1"/>
    <w:unhideWhenUsed/>
    <w:qFormat/>
    <w:uiPriority w:val="39"/>
    <w:pPr>
      <w:spacing w:before="120" w:after="120"/>
      <w:jc w:val="left"/>
    </w:pPr>
    <w:rPr>
      <w:b/>
      <w:bCs/>
      <w:caps/>
      <w:sz w:val="20"/>
      <w:szCs w:val="20"/>
    </w:rPr>
  </w:style>
  <w:style w:type="paragraph" w:styleId="21">
    <w:name w:val="toc 4"/>
    <w:basedOn w:val="1"/>
    <w:next w:val="1"/>
    <w:qFormat/>
    <w:uiPriority w:val="39"/>
    <w:pPr>
      <w:ind w:left="630"/>
      <w:jc w:val="left"/>
    </w:pPr>
    <w:rPr>
      <w:sz w:val="18"/>
      <w:szCs w:val="18"/>
    </w:rPr>
  </w:style>
  <w:style w:type="paragraph" w:styleId="22">
    <w:name w:val="toc 6"/>
    <w:basedOn w:val="1"/>
    <w:next w:val="1"/>
    <w:qFormat/>
    <w:uiPriority w:val="39"/>
    <w:pPr>
      <w:ind w:left="1050"/>
      <w:jc w:val="left"/>
    </w:pPr>
    <w:rPr>
      <w:sz w:val="18"/>
      <w:szCs w:val="18"/>
    </w:rPr>
  </w:style>
  <w:style w:type="paragraph" w:styleId="23">
    <w:name w:val="toc 2"/>
    <w:basedOn w:val="1"/>
    <w:next w:val="1"/>
    <w:unhideWhenUsed/>
    <w:qFormat/>
    <w:uiPriority w:val="39"/>
    <w:pPr>
      <w:ind w:left="210"/>
      <w:jc w:val="left"/>
    </w:pPr>
    <w:rPr>
      <w:smallCaps/>
      <w:sz w:val="20"/>
      <w:szCs w:val="20"/>
    </w:rPr>
  </w:style>
  <w:style w:type="paragraph" w:styleId="24">
    <w:name w:val="toc 9"/>
    <w:basedOn w:val="1"/>
    <w:next w:val="1"/>
    <w:qFormat/>
    <w:uiPriority w:val="39"/>
    <w:pPr>
      <w:ind w:left="1680"/>
      <w:jc w:val="left"/>
    </w:pPr>
    <w:rPr>
      <w:sz w:val="18"/>
      <w:szCs w:val="18"/>
    </w:rPr>
  </w:style>
  <w:style w:type="paragraph" w:styleId="25">
    <w:name w:val="index 1"/>
    <w:basedOn w:val="1"/>
    <w:next w:val="1"/>
    <w:unhideWhenUsed/>
    <w:qFormat/>
    <w:uiPriority w:val="99"/>
    <w:rPr>
      <w:sz w:val="24"/>
    </w:rPr>
  </w:style>
  <w:style w:type="paragraph" w:styleId="26">
    <w:name w:val="Title"/>
    <w:basedOn w:val="1"/>
    <w:next w:val="1"/>
    <w:qFormat/>
    <w:uiPriority w:val="10"/>
    <w:pPr>
      <w:spacing w:before="240" w:after="60"/>
      <w:jc w:val="center"/>
      <w:outlineLvl w:val="0"/>
    </w:pPr>
    <w:rPr>
      <w:rFonts w:ascii="Cambria" w:hAnsi="Cambria" w:eastAsia="宋体" w:cs="Times New Roman"/>
      <w:b/>
      <w:bCs/>
      <w:sz w:val="32"/>
      <w:szCs w:val="32"/>
    </w:rPr>
  </w:style>
  <w:style w:type="paragraph" w:styleId="27">
    <w:name w:val="annotation subject"/>
    <w:basedOn w:val="10"/>
    <w:next w:val="10"/>
    <w:link w:val="51"/>
    <w:unhideWhenUsed/>
    <w:qFormat/>
    <w:uiPriority w:val="99"/>
    <w:rPr>
      <w:b/>
      <w:bCs/>
    </w:rPr>
  </w:style>
  <w:style w:type="paragraph" w:styleId="28">
    <w:name w:val="Body Text First Indent"/>
    <w:basedOn w:val="11"/>
    <w:link w:val="52"/>
    <w:qFormat/>
    <w:uiPriority w:val="0"/>
    <w:pPr>
      <w:ind w:firstLine="420" w:firstLineChars="100"/>
    </w:pPr>
  </w:style>
  <w:style w:type="table" w:styleId="30">
    <w:name w:val="Table Grid"/>
    <w:basedOn w:val="2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
    <w:name w:val="默认段落字体 Char Char Char Char Char"/>
    <w:basedOn w:val="1"/>
    <w:link w:val="31"/>
    <w:qFormat/>
    <w:uiPriority w:val="0"/>
    <w:pPr>
      <w:snapToGrid w:val="0"/>
      <w:spacing w:line="360" w:lineRule="auto"/>
      <w:ind w:firstLine="200" w:firstLineChars="200"/>
    </w:pPr>
    <w:rPr>
      <w:rFonts w:eastAsia="仿宋_GB2312"/>
      <w:sz w:val="24"/>
      <w:szCs w:val="24"/>
    </w:rPr>
  </w:style>
  <w:style w:type="character" w:styleId="33">
    <w:name w:val="Strong"/>
    <w:qFormat/>
    <w:uiPriority w:val="0"/>
    <w:rPr>
      <w:b/>
      <w:bCs/>
    </w:rPr>
  </w:style>
  <w:style w:type="character" w:styleId="34">
    <w:name w:val="page number"/>
    <w:basedOn w:val="31"/>
    <w:qFormat/>
    <w:uiPriority w:val="0"/>
  </w:style>
  <w:style w:type="character" w:styleId="35">
    <w:name w:val="FollowedHyperlink"/>
    <w:unhideWhenUsed/>
    <w:qFormat/>
    <w:uiPriority w:val="99"/>
    <w:rPr>
      <w:color w:val="954F72"/>
      <w:u w:val="single"/>
    </w:rPr>
  </w:style>
  <w:style w:type="character" w:styleId="36">
    <w:name w:val="Emphasis"/>
    <w:qFormat/>
    <w:uiPriority w:val="20"/>
    <w:rPr>
      <w:color w:val="CC0000"/>
    </w:rPr>
  </w:style>
  <w:style w:type="character" w:styleId="37">
    <w:name w:val="Hyperlink"/>
    <w:unhideWhenUsed/>
    <w:qFormat/>
    <w:uiPriority w:val="99"/>
    <w:rPr>
      <w:color w:val="0000FF"/>
      <w:u w:val="single"/>
    </w:rPr>
  </w:style>
  <w:style w:type="character" w:styleId="38">
    <w:name w:val="annotation reference"/>
    <w:unhideWhenUsed/>
    <w:qFormat/>
    <w:uiPriority w:val="99"/>
    <w:rPr>
      <w:sz w:val="21"/>
      <w:szCs w:val="21"/>
    </w:rPr>
  </w:style>
  <w:style w:type="character" w:customStyle="1" w:styleId="39">
    <w:name w:val="标题 1 Char"/>
    <w:link w:val="2"/>
    <w:qFormat/>
    <w:uiPriority w:val="0"/>
    <w:rPr>
      <w:rFonts w:ascii="Times New Roman" w:hAnsi="Times New Roman" w:eastAsia="仿宋"/>
      <w:b/>
      <w:bCs/>
      <w:kern w:val="44"/>
      <w:sz w:val="36"/>
      <w:szCs w:val="44"/>
    </w:rPr>
  </w:style>
  <w:style w:type="character" w:customStyle="1" w:styleId="40">
    <w:name w:val="标题 2 Char"/>
    <w:link w:val="3"/>
    <w:qFormat/>
    <w:uiPriority w:val="0"/>
    <w:rPr>
      <w:rFonts w:ascii="Times New Roman" w:hAnsi="Times New Roman" w:eastAsia="仿宋"/>
      <w:b/>
      <w:bCs/>
      <w:kern w:val="2"/>
      <w:sz w:val="32"/>
      <w:szCs w:val="32"/>
    </w:rPr>
  </w:style>
  <w:style w:type="character" w:customStyle="1" w:styleId="41">
    <w:name w:val="正文缩进 Char"/>
    <w:link w:val="4"/>
    <w:qFormat/>
    <w:uiPriority w:val="0"/>
    <w:rPr>
      <w:rFonts w:eastAsia="宋体"/>
      <w:kern w:val="2"/>
      <w:sz w:val="21"/>
      <w:szCs w:val="24"/>
      <w:lang w:val="en-US" w:eastAsia="zh-CN" w:bidi="ar-SA"/>
    </w:rPr>
  </w:style>
  <w:style w:type="character" w:customStyle="1" w:styleId="42">
    <w:name w:val="标题 3 Char"/>
    <w:link w:val="5"/>
    <w:qFormat/>
    <w:uiPriority w:val="0"/>
    <w:rPr>
      <w:rFonts w:eastAsia="仿宋"/>
      <w:b/>
      <w:bCs/>
      <w:kern w:val="2"/>
      <w:sz w:val="32"/>
      <w:szCs w:val="32"/>
      <w:lang w:val="en-US" w:eastAsia="zh-CN" w:bidi="ar-SA"/>
    </w:rPr>
  </w:style>
  <w:style w:type="character" w:customStyle="1" w:styleId="43">
    <w:name w:val="标题 4 Char"/>
    <w:link w:val="6"/>
    <w:qFormat/>
    <w:uiPriority w:val="0"/>
    <w:rPr>
      <w:rFonts w:ascii="Cambria" w:hAnsi="Cambria" w:eastAsia="仿宋"/>
      <w:b/>
      <w:bCs/>
      <w:kern w:val="2"/>
      <w:sz w:val="32"/>
      <w:szCs w:val="28"/>
    </w:rPr>
  </w:style>
  <w:style w:type="character" w:customStyle="1" w:styleId="44">
    <w:name w:val="文档结构图 Char"/>
    <w:link w:val="9"/>
    <w:semiHidden/>
    <w:qFormat/>
    <w:uiPriority w:val="99"/>
    <w:rPr>
      <w:rFonts w:ascii="宋体" w:hAnsi="Times New Roman"/>
      <w:kern w:val="2"/>
      <w:sz w:val="18"/>
      <w:szCs w:val="18"/>
    </w:rPr>
  </w:style>
  <w:style w:type="character" w:customStyle="1" w:styleId="45">
    <w:name w:val="批注文字 Char"/>
    <w:link w:val="10"/>
    <w:semiHidden/>
    <w:qFormat/>
    <w:uiPriority w:val="99"/>
    <w:rPr>
      <w:rFonts w:ascii="Times New Roman" w:hAnsi="Times New Roman"/>
      <w:kern w:val="2"/>
      <w:sz w:val="21"/>
      <w:szCs w:val="24"/>
    </w:rPr>
  </w:style>
  <w:style w:type="character" w:customStyle="1" w:styleId="46">
    <w:name w:val="正文文本 Char"/>
    <w:link w:val="11"/>
    <w:qFormat/>
    <w:uiPriority w:val="0"/>
  </w:style>
  <w:style w:type="character" w:customStyle="1" w:styleId="47">
    <w:name w:val="纯文本 Char"/>
    <w:basedOn w:val="31"/>
    <w:link w:val="15"/>
    <w:qFormat/>
    <w:uiPriority w:val="0"/>
    <w:rPr>
      <w:rFonts w:hint="eastAsia" w:ascii="宋体" w:hAnsi="宋体" w:eastAsia="楷体_GB2312" w:cs="宋体"/>
      <w:sz w:val="28"/>
      <w:lang w:bidi="ar"/>
    </w:rPr>
  </w:style>
  <w:style w:type="character" w:customStyle="1" w:styleId="48">
    <w:name w:val="批注框文本 Char"/>
    <w:link w:val="17"/>
    <w:semiHidden/>
    <w:qFormat/>
    <w:uiPriority w:val="99"/>
    <w:rPr>
      <w:rFonts w:ascii="Times New Roman" w:hAnsi="Times New Roman"/>
      <w:kern w:val="2"/>
      <w:sz w:val="18"/>
      <w:szCs w:val="18"/>
    </w:rPr>
  </w:style>
  <w:style w:type="character" w:customStyle="1" w:styleId="49">
    <w:name w:val="页脚 Char"/>
    <w:link w:val="18"/>
    <w:qFormat/>
    <w:uiPriority w:val="0"/>
    <w:rPr>
      <w:sz w:val="18"/>
      <w:szCs w:val="18"/>
    </w:rPr>
  </w:style>
  <w:style w:type="character" w:customStyle="1" w:styleId="50">
    <w:name w:val="页眉 Char"/>
    <w:link w:val="19"/>
    <w:qFormat/>
    <w:uiPriority w:val="0"/>
    <w:rPr>
      <w:sz w:val="18"/>
      <w:szCs w:val="18"/>
    </w:rPr>
  </w:style>
  <w:style w:type="character" w:customStyle="1" w:styleId="51">
    <w:name w:val="批注主题 Char"/>
    <w:link w:val="27"/>
    <w:semiHidden/>
    <w:qFormat/>
    <w:uiPriority w:val="99"/>
    <w:rPr>
      <w:rFonts w:ascii="Times New Roman" w:hAnsi="Times New Roman"/>
      <w:b/>
      <w:bCs/>
      <w:kern w:val="2"/>
      <w:sz w:val="21"/>
      <w:szCs w:val="24"/>
    </w:rPr>
  </w:style>
  <w:style w:type="character" w:customStyle="1" w:styleId="52">
    <w:name w:val="正文首行缩进 Char"/>
    <w:link w:val="28"/>
    <w:qFormat/>
    <w:uiPriority w:val="0"/>
  </w:style>
  <w:style w:type="character" w:customStyle="1" w:styleId="53">
    <w:name w:val=" Char Char22"/>
    <w:basedOn w:val="31"/>
    <w:link w:val="4"/>
    <w:qFormat/>
    <w:uiPriority w:val="0"/>
    <w:rPr>
      <w:rFonts w:hint="eastAsia" w:ascii="宋体" w:hAnsi="宋体" w:eastAsia="宋体" w:cs="宋体"/>
      <w:kern w:val="2"/>
      <w:sz w:val="21"/>
      <w:szCs w:val="24"/>
      <w:lang w:val="en-US" w:eastAsia="zh-CN" w:bidi="ar"/>
    </w:rPr>
  </w:style>
  <w:style w:type="character" w:customStyle="1" w:styleId="54">
    <w:name w:val=" Char Char35"/>
    <w:basedOn w:val="31"/>
    <w:link w:val="5"/>
    <w:qFormat/>
    <w:uiPriority w:val="0"/>
    <w:rPr>
      <w:rFonts w:hint="eastAsia" w:ascii="Times New Roman" w:hAnsi="Times New Roman" w:eastAsia="仿宋" w:cs="黑体"/>
      <w:b/>
      <w:bCs/>
      <w:kern w:val="2"/>
      <w:sz w:val="28"/>
      <w:szCs w:val="32"/>
      <w:lang w:val="en-US" w:eastAsia="zh-CN" w:bidi="ar"/>
    </w:rPr>
  </w:style>
  <w:style w:type="paragraph" w:customStyle="1" w:styleId="55">
    <w:name w:val="无间隔1"/>
    <w:qFormat/>
    <w:uiPriority w:val="0"/>
    <w:rPr>
      <w:rFonts w:ascii="Calibri" w:hAnsi="Calibri" w:eastAsia="Times New Roman" w:cs="Times New Roman"/>
      <w:sz w:val="22"/>
      <w:szCs w:val="22"/>
      <w:lang w:val="en-US" w:eastAsia="zh-CN" w:bidi="ar-SA"/>
    </w:rPr>
  </w:style>
  <w:style w:type="character" w:customStyle="1" w:styleId="56">
    <w:name w:val="样式 (中文) 仿宋_GB2312 四号1"/>
    <w:qFormat/>
    <w:uiPriority w:val="0"/>
    <w:rPr>
      <w:rFonts w:eastAsia="仿宋_GB2312"/>
      <w:kern w:val="0"/>
      <w:sz w:val="28"/>
      <w:lang w:val="en-US" w:eastAsia="zh-CN"/>
    </w:rPr>
  </w:style>
  <w:style w:type="character" w:customStyle="1" w:styleId="57">
    <w:name w:val="font31"/>
    <w:basedOn w:val="31"/>
    <w:qFormat/>
    <w:uiPriority w:val="0"/>
    <w:rPr>
      <w:rFonts w:hint="default" w:ascii="Times New Roman" w:hAnsi="Times New Roman" w:cs="Times New Roman"/>
      <w:color w:val="000000"/>
      <w:sz w:val="24"/>
      <w:szCs w:val="24"/>
      <w:u w:val="none"/>
    </w:rPr>
  </w:style>
  <w:style w:type="character" w:customStyle="1" w:styleId="58">
    <w:name w:val="font11"/>
    <w:basedOn w:val="31"/>
    <w:qFormat/>
    <w:uiPriority w:val="0"/>
    <w:rPr>
      <w:rFonts w:hint="eastAsia" w:ascii="宋体" w:hAnsi="宋体" w:eastAsia="宋体" w:cs="宋体"/>
      <w:color w:val="000000"/>
      <w:sz w:val="24"/>
      <w:szCs w:val="24"/>
      <w:u w:val="none"/>
    </w:rPr>
  </w:style>
  <w:style w:type="character" w:customStyle="1" w:styleId="59">
    <w:name w:val="font91"/>
    <w:basedOn w:val="31"/>
    <w:qFormat/>
    <w:uiPriority w:val="0"/>
    <w:rPr>
      <w:rFonts w:hint="eastAsia" w:ascii="宋体" w:hAnsi="宋体" w:eastAsia="宋体" w:cs="宋体"/>
      <w:b/>
      <w:color w:val="000000"/>
      <w:sz w:val="24"/>
      <w:szCs w:val="24"/>
      <w:u w:val="none"/>
      <w:vertAlign w:val="superscript"/>
    </w:rPr>
  </w:style>
  <w:style w:type="character" w:customStyle="1" w:styleId="60">
    <w:name w:val="font01"/>
    <w:basedOn w:val="31"/>
    <w:qFormat/>
    <w:uiPriority w:val="0"/>
    <w:rPr>
      <w:rFonts w:hint="eastAsia" w:ascii="仿宋" w:hAnsi="仿宋" w:eastAsia="仿宋" w:cs="仿宋"/>
      <w:color w:val="000000"/>
      <w:sz w:val="21"/>
      <w:szCs w:val="21"/>
      <w:u w:val="none"/>
    </w:rPr>
  </w:style>
  <w:style w:type="character" w:customStyle="1" w:styleId="61">
    <w:name w:val="font61"/>
    <w:basedOn w:val="31"/>
    <w:qFormat/>
    <w:uiPriority w:val="0"/>
    <w:rPr>
      <w:rFonts w:hint="eastAsia" w:ascii="仿宋_GB2312" w:eastAsia="仿宋_GB2312" w:cs="仿宋_GB2312"/>
      <w:color w:val="000000"/>
      <w:sz w:val="24"/>
      <w:szCs w:val="24"/>
      <w:u w:val="none"/>
    </w:rPr>
  </w:style>
  <w:style w:type="character" w:customStyle="1" w:styleId="62">
    <w:name w:val="font41"/>
    <w:basedOn w:val="31"/>
    <w:qFormat/>
    <w:uiPriority w:val="0"/>
    <w:rPr>
      <w:rFonts w:hint="default" w:ascii="Times New Roman" w:hAnsi="Times New Roman" w:cs="Times New Roman"/>
      <w:color w:val="000000"/>
      <w:sz w:val="21"/>
      <w:szCs w:val="21"/>
      <w:u w:val="none"/>
    </w:rPr>
  </w:style>
  <w:style w:type="character" w:customStyle="1" w:styleId="63">
    <w:name w:val="font81"/>
    <w:basedOn w:val="31"/>
    <w:qFormat/>
    <w:uiPriority w:val="0"/>
    <w:rPr>
      <w:rFonts w:hint="eastAsia" w:ascii="宋体" w:hAnsi="宋体" w:eastAsia="宋体" w:cs="宋体"/>
      <w:b/>
      <w:color w:val="FF0000"/>
      <w:sz w:val="24"/>
      <w:szCs w:val="24"/>
      <w:u w:val="none"/>
      <w:vertAlign w:val="superscript"/>
    </w:rPr>
  </w:style>
  <w:style w:type="character" w:customStyle="1" w:styleId="64">
    <w:name w:val="正文文本 Char Char"/>
    <w:qFormat/>
    <w:uiPriority w:val="0"/>
    <w:rPr>
      <w:rFonts w:eastAsia="宋体"/>
      <w:kern w:val="2"/>
      <w:sz w:val="21"/>
      <w:szCs w:val="24"/>
      <w:lang w:val="en-US" w:eastAsia="zh-CN" w:bidi="ar-SA"/>
    </w:rPr>
  </w:style>
  <w:style w:type="character" w:customStyle="1" w:styleId="65">
    <w:name w:val="font21"/>
    <w:basedOn w:val="31"/>
    <w:qFormat/>
    <w:uiPriority w:val="0"/>
    <w:rPr>
      <w:rFonts w:hint="default" w:ascii="Times New Roman" w:hAnsi="Times New Roman" w:cs="Times New Roman"/>
      <w:color w:val="000000"/>
      <w:sz w:val="21"/>
      <w:szCs w:val="21"/>
      <w:u w:val="none"/>
      <w:vertAlign w:val="superscript"/>
    </w:rPr>
  </w:style>
  <w:style w:type="paragraph" w:customStyle="1" w:styleId="66">
    <w:name w:val="表头2"/>
    <w:link w:val="67"/>
    <w:qFormat/>
    <w:uiPriority w:val="0"/>
    <w:pPr>
      <w:spacing w:line="360" w:lineRule="auto"/>
      <w:jc w:val="center"/>
    </w:pPr>
    <w:rPr>
      <w:rFonts w:ascii="Times New Roman" w:hAnsi="Times New Roman" w:eastAsia="仿宋_GB2312" w:cs="Times New Roman"/>
      <w:b/>
      <w:kern w:val="2"/>
      <w:sz w:val="24"/>
      <w:szCs w:val="24"/>
      <w:lang w:val="en-US" w:eastAsia="zh-CN" w:bidi="ar-SA"/>
    </w:rPr>
  </w:style>
  <w:style w:type="character" w:customStyle="1" w:styleId="67">
    <w:name w:val="表头2 Char"/>
    <w:link w:val="66"/>
    <w:qFormat/>
    <w:uiPriority w:val="0"/>
    <w:rPr>
      <w:rFonts w:ascii="Times New Roman" w:hAnsi="Times New Roman" w:eastAsia="仿宋_GB2312" w:cs="Times New Roman"/>
      <w:b/>
      <w:kern w:val="2"/>
      <w:sz w:val="24"/>
      <w:szCs w:val="24"/>
      <w:lang w:val="en-US" w:eastAsia="zh-CN" w:bidi="ar-SA"/>
    </w:rPr>
  </w:style>
  <w:style w:type="paragraph" w:customStyle="1" w:styleId="68">
    <w:name w:val="Char"/>
    <w:basedOn w:val="1"/>
    <w:qFormat/>
    <w:uiPriority w:val="0"/>
    <w:pPr>
      <w:snapToGrid w:val="0"/>
      <w:spacing w:line="360" w:lineRule="auto"/>
      <w:ind w:firstLine="200" w:firstLineChars="200"/>
    </w:pPr>
    <w:rPr>
      <w:rFonts w:eastAsia="仿宋_GB2312"/>
      <w:sz w:val="24"/>
    </w:rPr>
  </w:style>
  <w:style w:type="paragraph" w:customStyle="1" w:styleId="6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70">
    <w:name w:val="样式 首行缩进:  2 字符"/>
    <w:basedOn w:val="1"/>
    <w:qFormat/>
    <w:uiPriority w:val="0"/>
    <w:pPr>
      <w:ind w:firstLine="560" w:firstLineChars="200"/>
    </w:pPr>
    <w:rPr>
      <w:rFonts w:eastAsia="仿宋_GB2312" w:cs="宋体"/>
      <w:sz w:val="28"/>
      <w:szCs w:val="20"/>
    </w:rPr>
  </w:style>
  <w:style w:type="paragraph" w:customStyle="1" w:styleId="71">
    <w:name w:val="xl7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72">
    <w:name w:val="正文1"/>
    <w:basedOn w:val="1"/>
    <w:qFormat/>
    <w:uiPriority w:val="0"/>
    <w:pPr>
      <w:spacing w:line="360" w:lineRule="auto"/>
      <w:jc w:val="center"/>
    </w:pPr>
    <w:rPr>
      <w:rFonts w:eastAsia="仿宋_GB2312"/>
      <w:kern w:val="0"/>
      <w:sz w:val="24"/>
      <w:szCs w:val="24"/>
      <w:lang w:val="zh-CN"/>
    </w:rPr>
  </w:style>
  <w:style w:type="paragraph" w:customStyle="1" w:styleId="73">
    <w:name w:val="xl6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74">
    <w:name w:val="xl72"/>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cs="宋体"/>
      <w:b/>
      <w:bCs/>
      <w:color w:val="000000"/>
      <w:kern w:val="0"/>
      <w:sz w:val="24"/>
    </w:rPr>
  </w:style>
  <w:style w:type="paragraph" w:customStyle="1" w:styleId="75">
    <w:name w:val="xl75"/>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b/>
      <w:bCs/>
      <w:color w:val="000000"/>
      <w:kern w:val="0"/>
      <w:sz w:val="24"/>
    </w:rPr>
  </w:style>
  <w:style w:type="paragraph" w:customStyle="1" w:styleId="76">
    <w:name w:val="yxx_正文"/>
    <w:basedOn w:val="1"/>
    <w:qFormat/>
    <w:uiPriority w:val="0"/>
    <w:pPr>
      <w:ind w:firstLine="480"/>
    </w:pPr>
    <w:rPr>
      <w:kern w:val="0"/>
      <w:szCs w:val="20"/>
    </w:rPr>
  </w:style>
  <w:style w:type="paragraph" w:customStyle="1" w:styleId="77">
    <w:name w:val="_Style 69"/>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78">
    <w:name w:val=" Char Char Char Char Char Char Char"/>
    <w:basedOn w:val="1"/>
    <w:qFormat/>
    <w:uiPriority w:val="0"/>
    <w:pPr>
      <w:snapToGrid w:val="0"/>
      <w:spacing w:line="360" w:lineRule="auto"/>
      <w:ind w:firstLine="200" w:firstLineChars="200"/>
    </w:pPr>
    <w:rPr>
      <w:rFonts w:eastAsia="仿宋_GB2312"/>
      <w:sz w:val="24"/>
    </w:rPr>
  </w:style>
  <w:style w:type="paragraph" w:customStyle="1" w:styleId="79">
    <w:name w:val="样式7 Char Char"/>
    <w:basedOn w:val="1"/>
    <w:qFormat/>
    <w:uiPriority w:val="0"/>
    <w:pPr>
      <w:spacing w:line="360" w:lineRule="auto"/>
      <w:ind w:firstLine="480" w:firstLineChars="200"/>
    </w:pPr>
    <w:rPr>
      <w:rFonts w:eastAsia="仿宋_GB2312"/>
      <w:sz w:val="24"/>
      <w:szCs w:val="24"/>
    </w:rPr>
  </w:style>
  <w:style w:type="paragraph" w:customStyle="1" w:styleId="80">
    <w:name w:val="表格内容"/>
    <w:basedOn w:val="4"/>
    <w:next w:val="15"/>
    <w:link w:val="81"/>
    <w:qFormat/>
    <w:uiPriority w:val="0"/>
    <w:pPr>
      <w:spacing w:line="240" w:lineRule="auto"/>
      <w:ind w:firstLine="0" w:firstLineChars="0"/>
      <w:jc w:val="center"/>
    </w:pPr>
    <w:rPr>
      <w:sz w:val="21"/>
      <w:szCs w:val="20"/>
    </w:rPr>
  </w:style>
  <w:style w:type="character" w:customStyle="1" w:styleId="81">
    <w:name w:val="表格字体 Char"/>
    <w:link w:val="80"/>
    <w:qFormat/>
    <w:uiPriority w:val="0"/>
    <w:rPr>
      <w:rFonts w:eastAsia="仿宋"/>
      <w:sz w:val="21"/>
      <w:szCs w:val="20"/>
    </w:rPr>
  </w:style>
  <w:style w:type="paragraph" w:customStyle="1" w:styleId="82">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83">
    <w:name w:val="xl80"/>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84">
    <w:name w:val="font6"/>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8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8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7">
    <w:name w:val="样式5"/>
    <w:basedOn w:val="5"/>
    <w:qFormat/>
    <w:uiPriority w:val="0"/>
    <w:pPr>
      <w:autoSpaceDE w:val="0"/>
      <w:autoSpaceDN w:val="0"/>
      <w:spacing w:before="120" w:beforeLines="50" w:after="0" w:line="360" w:lineRule="auto"/>
      <w:textAlignment w:val="baseline"/>
    </w:pPr>
    <w:rPr>
      <w:rFonts w:ascii="黑体" w:eastAsia="黑体"/>
      <w:b w:val="0"/>
      <w:bCs w:val="0"/>
      <w:sz w:val="30"/>
      <w:szCs w:val="30"/>
    </w:rPr>
  </w:style>
  <w:style w:type="paragraph" w:customStyle="1" w:styleId="88">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9">
    <w:name w:val="p0"/>
    <w:basedOn w:val="1"/>
    <w:qFormat/>
    <w:uiPriority w:val="0"/>
    <w:pPr>
      <w:widowControl/>
      <w:spacing w:line="365" w:lineRule="atLeast"/>
      <w:ind w:left="1"/>
      <w:textAlignment w:val="bottom"/>
    </w:pPr>
    <w:rPr>
      <w:kern w:val="0"/>
      <w:sz w:val="20"/>
      <w:szCs w:val="20"/>
    </w:rPr>
  </w:style>
  <w:style w:type="paragraph" w:customStyle="1" w:styleId="90">
    <w:name w:val="表格标题"/>
    <w:basedOn w:val="1"/>
    <w:link w:val="91"/>
    <w:qFormat/>
    <w:uiPriority w:val="0"/>
    <w:pPr>
      <w:ind w:firstLine="0" w:firstLineChars="0"/>
      <w:jc w:val="center"/>
    </w:pPr>
    <w:rPr>
      <w:b/>
      <w:sz w:val="24"/>
    </w:rPr>
  </w:style>
  <w:style w:type="character" w:customStyle="1" w:styleId="91">
    <w:name w:val="表格标题 Char"/>
    <w:link w:val="90"/>
    <w:qFormat/>
    <w:uiPriority w:val="0"/>
    <w:rPr>
      <w:rFonts w:ascii="Times New Roman" w:hAnsi="Times New Roman" w:eastAsia="仿宋"/>
      <w:b/>
      <w:sz w:val="24"/>
    </w:rPr>
  </w:style>
  <w:style w:type="paragraph" w:customStyle="1" w:styleId="9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3">
    <w:name w:val="xl73"/>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cs="宋体"/>
      <w:b/>
      <w:bCs/>
      <w:color w:val="000000"/>
      <w:kern w:val="0"/>
      <w:sz w:val="24"/>
    </w:rPr>
  </w:style>
  <w:style w:type="paragraph" w:customStyle="1" w:styleId="94">
    <w:name w:val="xl68"/>
    <w:basedOn w:val="1"/>
    <w:qFormat/>
    <w:uiPriority w:val="0"/>
    <w:pPr>
      <w:widowControl/>
      <w:pBdr>
        <w:right w:val="single" w:color="auto" w:sz="8" w:space="0"/>
      </w:pBdr>
      <w:spacing w:before="100" w:beforeAutospacing="1" w:after="100" w:afterAutospacing="1"/>
      <w:jc w:val="center"/>
    </w:pPr>
    <w:rPr>
      <w:rFonts w:ascii="宋体" w:hAnsi="宋体" w:cs="宋体"/>
      <w:b/>
      <w:bCs/>
      <w:color w:val="000000"/>
      <w:kern w:val="0"/>
      <w:sz w:val="24"/>
    </w:rPr>
  </w:style>
  <w:style w:type="paragraph" w:customStyle="1" w:styleId="95">
    <w:name w:val="00正文"/>
    <w:basedOn w:val="1"/>
    <w:qFormat/>
    <w:uiPriority w:val="0"/>
    <w:rPr>
      <w:rFonts w:ascii="黑体" w:cs="宋体"/>
      <w:szCs w:val="20"/>
    </w:rPr>
  </w:style>
  <w:style w:type="paragraph" w:customStyle="1" w:styleId="96">
    <w:name w:val="xl6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7">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98">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99">
    <w:name w:val="xl74"/>
    <w:basedOn w:val="1"/>
    <w:qFormat/>
    <w:uiPriority w:val="0"/>
    <w:pPr>
      <w:widowControl/>
      <w:pBdr>
        <w:top w:val="single" w:color="auto" w:sz="8" w:space="0"/>
        <w:bottom w:val="single" w:color="auto" w:sz="8" w:space="0"/>
      </w:pBdr>
      <w:spacing w:before="100" w:beforeAutospacing="1" w:after="100" w:afterAutospacing="1"/>
      <w:jc w:val="center"/>
    </w:pPr>
    <w:rPr>
      <w:rFonts w:ascii="宋体" w:hAnsi="宋体" w:cs="宋体"/>
      <w:b/>
      <w:bCs/>
      <w:color w:val="000000"/>
      <w:kern w:val="0"/>
      <w:sz w:val="24"/>
    </w:rPr>
  </w:style>
  <w:style w:type="paragraph" w:customStyle="1" w:styleId="100">
    <w:name w:val="xl71"/>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b/>
      <w:bCs/>
      <w:color w:val="000000"/>
      <w:kern w:val="0"/>
      <w:sz w:val="24"/>
    </w:rPr>
  </w:style>
  <w:style w:type="paragraph" w:customStyle="1" w:styleId="101">
    <w:name w:val="正文11111111111111111111"/>
    <w:basedOn w:val="1"/>
    <w:qFormat/>
    <w:uiPriority w:val="0"/>
    <w:pPr>
      <w:spacing w:line="360" w:lineRule="auto"/>
      <w:ind w:firstLine="482"/>
    </w:pPr>
    <w:rPr>
      <w:rFonts w:ascii="仿宋_GB2312" w:hAnsi="宋体" w:eastAsia="仿宋_GB2312" w:cs="AdobeSongStd-Light"/>
      <w:kern w:val="0"/>
      <w:sz w:val="24"/>
      <w:szCs w:val="24"/>
    </w:rPr>
  </w:style>
  <w:style w:type="paragraph" w:customStyle="1" w:styleId="102">
    <w:name w:val="List Paragraph"/>
    <w:basedOn w:val="1"/>
    <w:qFormat/>
    <w:uiPriority w:val="0"/>
    <w:pPr>
      <w:ind w:firstLine="420"/>
    </w:pPr>
    <w:rPr>
      <w:rFonts w:eastAsia="宋体"/>
      <w:sz w:val="21"/>
    </w:rPr>
  </w:style>
  <w:style w:type="paragraph" w:customStyle="1" w:styleId="103">
    <w:name w:val="样式 左侧:  0 厘米 首行缩进:  0.85 厘米"/>
    <w:basedOn w:val="1"/>
    <w:qFormat/>
    <w:uiPriority w:val="0"/>
    <w:pPr>
      <w:ind w:firstLine="480"/>
    </w:pPr>
    <w:rPr>
      <w:rFonts w:eastAsia="仿宋_GB2312"/>
      <w:sz w:val="24"/>
    </w:rPr>
  </w:style>
  <w:style w:type="paragraph" w:customStyle="1" w:styleId="104">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05">
    <w:name w:val=" Char"/>
    <w:basedOn w:val="1"/>
    <w:qFormat/>
    <w:uiPriority w:val="0"/>
    <w:pPr>
      <w:snapToGrid w:val="0"/>
      <w:spacing w:line="360" w:lineRule="auto"/>
      <w:ind w:firstLine="200" w:firstLineChars="200"/>
    </w:pPr>
    <w:rPr>
      <w:rFonts w:eastAsia="仿宋_GB2312"/>
      <w:sz w:val="24"/>
    </w:rPr>
  </w:style>
  <w:style w:type="character" w:customStyle="1" w:styleId="106">
    <w:name w:val="font51"/>
    <w:basedOn w:val="31"/>
    <w:qFormat/>
    <w:uiPriority w:val="0"/>
    <w:rPr>
      <w:rFonts w:hint="default" w:ascii="Times New Roman" w:hAnsi="Times New Roman" w:cs="Times New Roman"/>
      <w:color w:val="000000"/>
      <w:sz w:val="18"/>
      <w:szCs w:val="18"/>
      <w:u w:val="none"/>
    </w:rPr>
  </w:style>
  <w:style w:type="paragraph" w:customStyle="1" w:styleId="107">
    <w:name w:val="无间隔"/>
    <w:basedOn w:val="1"/>
    <w:qFormat/>
    <w:uiPriority w:val="0"/>
    <w:pPr>
      <w:keepNext w:val="0"/>
      <w:keepLines w:val="0"/>
      <w:widowControl w:val="0"/>
      <w:suppressLineNumbers w:val="0"/>
      <w:spacing w:before="0" w:beforeAutospacing="0" w:after="0" w:afterAutospacing="0" w:line="0" w:lineRule="atLeast"/>
      <w:ind w:left="50" w:right="0" w:hanging="50" w:hangingChars="50"/>
      <w:jc w:val="both"/>
    </w:pPr>
    <w:rPr>
      <w:rFonts w:hint="default" w:ascii="Times New Roman" w:hAnsi="Times New Roman" w:eastAsia="楷体_GB2312" w:cs="Times New Roman"/>
      <w:kern w:val="2"/>
      <w:sz w:val="15"/>
      <w:szCs w:val="24"/>
      <w:lang w:val="en-US" w:eastAsia="zh-CN" w:bidi="ar"/>
    </w:rPr>
  </w:style>
  <w:style w:type="paragraph" w:customStyle="1" w:styleId="108">
    <w:name w:val="样式9"/>
    <w:basedOn w:val="1"/>
    <w:link w:val="109"/>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Pr>
      <w:rFonts w:hint="default" w:ascii="Times New Roman" w:hAnsi="Times New Roman" w:eastAsia="仿宋_GB2312" w:cs="Times New Roman"/>
      <w:color w:val="0000FF"/>
      <w:kern w:val="2"/>
      <w:sz w:val="24"/>
      <w:szCs w:val="24"/>
      <w:lang w:val="en-US" w:eastAsia="zh-CN" w:bidi="ar"/>
    </w:rPr>
  </w:style>
  <w:style w:type="character" w:customStyle="1" w:styleId="109">
    <w:name w:val="样式9 Char Char"/>
    <w:basedOn w:val="31"/>
    <w:link w:val="108"/>
    <w:qFormat/>
    <w:uiPriority w:val="0"/>
    <w:rPr>
      <w:rFonts w:hint="eastAsia" w:ascii="仿宋_GB2312" w:eastAsia="仿宋_GB2312" w:cs="仿宋_GB2312"/>
      <w:color w:val="0000FF"/>
      <w:kern w:val="2"/>
      <w:sz w:val="24"/>
      <w:szCs w:val="24"/>
      <w:lang w:val="en-US" w:eastAsia="zh-CN" w:bidi="ar"/>
    </w:rPr>
  </w:style>
  <w:style w:type="character" w:customStyle="1" w:styleId="110">
    <w:name w:val="无间隔 Char"/>
    <w:basedOn w:val="31"/>
    <w:qFormat/>
    <w:uiPriority w:val="0"/>
    <w:rPr>
      <w:rFonts w:hint="default" w:ascii="Calibri" w:hAnsi="Calibri" w:cs="Calibri"/>
      <w:sz w:val="22"/>
      <w:szCs w:val="22"/>
      <w:lang w:val="en-US" w:eastAsia="zh-CN" w:bidi="ar"/>
    </w:rPr>
  </w:style>
  <w:style w:type="character" w:customStyle="1" w:styleId="111">
    <w:name w:val="font101"/>
    <w:basedOn w:val="31"/>
    <w:qFormat/>
    <w:uiPriority w:val="0"/>
    <w:rPr>
      <w:rFonts w:hint="eastAsia" w:ascii="宋体" w:hAnsi="宋体" w:eastAsia="宋体" w:cs="宋体"/>
      <w:color w:val="000000"/>
      <w:sz w:val="24"/>
      <w:szCs w:val="24"/>
      <w:u w:val="none"/>
      <w:vertAlign w:val="superscript"/>
    </w:rPr>
  </w:style>
  <w:style w:type="character" w:customStyle="1" w:styleId="112">
    <w:name w:val="font111"/>
    <w:basedOn w:val="31"/>
    <w:qFormat/>
    <w:uiPriority w:val="0"/>
    <w:rPr>
      <w:rFonts w:hint="eastAsia" w:ascii="宋体" w:hAnsi="宋体" w:eastAsia="宋体" w:cs="宋体"/>
      <w:color w:val="000000"/>
      <w:sz w:val="22"/>
      <w:szCs w:val="22"/>
      <w:u w:val="none"/>
      <w:vertAlign w:val="superscript"/>
    </w:rPr>
  </w:style>
  <w:style w:type="character" w:customStyle="1" w:styleId="113">
    <w:name w:val="font12"/>
    <w:basedOn w:val="31"/>
    <w:qFormat/>
    <w:uiPriority w:val="0"/>
    <w:rPr>
      <w:rFonts w:hint="eastAsia" w:ascii="宋体" w:hAnsi="宋体" w:eastAsia="宋体" w:cs="宋体"/>
      <w:color w:val="000000"/>
      <w:sz w:val="22"/>
      <w:szCs w:val="22"/>
      <w:u w:val="none"/>
    </w:rPr>
  </w:style>
  <w:style w:type="character" w:customStyle="1" w:styleId="114">
    <w:name w:val="font71"/>
    <w:basedOn w:val="31"/>
    <w:qFormat/>
    <w:uiPriority w:val="0"/>
    <w:rPr>
      <w:rFonts w:hint="eastAsia" w:ascii="仿宋_GB2312" w:eastAsia="仿宋_GB2312" w:cs="仿宋_GB2312"/>
      <w:color w:val="0000FF"/>
      <w:sz w:val="21"/>
      <w:szCs w:val="21"/>
      <w:u w:val="none"/>
    </w:rPr>
  </w:style>
  <w:style w:type="paragraph" w:customStyle="1" w:styleId="115">
    <w:name w:val=" Char Char Char Char Char Char Char Char Char"/>
    <w:basedOn w:val="1"/>
    <w:qFormat/>
    <w:uiPriority w:val="0"/>
    <w:pPr>
      <w:keepNext/>
      <w:widowControl/>
      <w:tabs>
        <w:tab w:val="left" w:pos="425"/>
      </w:tabs>
      <w:autoSpaceDE w:val="0"/>
      <w:autoSpaceDN w:val="0"/>
      <w:adjustRightInd w:val="0"/>
      <w:spacing w:before="80" w:after="80" w:line="360" w:lineRule="auto"/>
      <w:ind w:hanging="425" w:firstLineChars="200"/>
    </w:pPr>
    <w:rPr>
      <w:rFonts w:ascii="Arial" w:hAnsi="Arial" w:cs="Arial"/>
      <w:sz w:val="20"/>
      <w:szCs w:val="20"/>
    </w:rPr>
  </w:style>
  <w:style w:type="paragraph" w:customStyle="1" w:styleId="116">
    <w:name w:val="font0"/>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17">
    <w:name w:val="font1"/>
    <w:basedOn w:val="1"/>
    <w:qFormat/>
    <w:uiPriority w:val="0"/>
    <w:pPr>
      <w:widowControl/>
      <w:spacing w:before="100" w:beforeAutospacing="1" w:after="100" w:afterAutospacing="1"/>
      <w:jc w:val="left"/>
    </w:pPr>
    <w:rPr>
      <w:rFonts w:ascii="仿宋_GB2312" w:hAnsi="宋体" w:eastAsia="仿宋_GB2312" w:cs="宋体"/>
      <w:b/>
      <w:bCs/>
      <w:color w:val="000000"/>
      <w:kern w:val="0"/>
      <w:sz w:val="18"/>
      <w:szCs w:val="18"/>
    </w:rPr>
  </w:style>
  <w:style w:type="paragraph" w:customStyle="1" w:styleId="118">
    <w:name w:val="font2"/>
    <w:basedOn w:val="1"/>
    <w:qFormat/>
    <w:uiPriority w:val="0"/>
    <w:pPr>
      <w:widowControl/>
      <w:spacing w:before="100" w:beforeAutospacing="1" w:after="100" w:afterAutospacing="1"/>
      <w:jc w:val="left"/>
    </w:pPr>
    <w:rPr>
      <w:rFonts w:ascii="仿宋_GB2312" w:hAnsi="宋体" w:eastAsia="仿宋_GB2312" w:cs="宋体"/>
      <w:color w:val="000000"/>
      <w:kern w:val="0"/>
      <w:sz w:val="18"/>
      <w:szCs w:val="18"/>
    </w:rPr>
  </w:style>
  <w:style w:type="paragraph" w:customStyle="1" w:styleId="119">
    <w:name w:val="font3"/>
    <w:basedOn w:val="1"/>
    <w:qFormat/>
    <w:uiPriority w:val="0"/>
    <w:pPr>
      <w:widowControl/>
      <w:spacing w:before="100" w:beforeAutospacing="1" w:after="100" w:afterAutospacing="1"/>
      <w:jc w:val="left"/>
    </w:pPr>
    <w:rPr>
      <w:color w:val="000000"/>
      <w:kern w:val="0"/>
      <w:sz w:val="18"/>
      <w:szCs w:val="18"/>
    </w:rPr>
  </w:style>
  <w:style w:type="paragraph" w:customStyle="1" w:styleId="120">
    <w:name w:val="et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b/>
      <w:bCs/>
      <w:kern w:val="0"/>
      <w:sz w:val="18"/>
      <w:szCs w:val="18"/>
    </w:rPr>
  </w:style>
  <w:style w:type="paragraph" w:customStyle="1" w:styleId="121">
    <w:name w:val="et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4"/>
    </w:rPr>
  </w:style>
  <w:style w:type="paragraph" w:customStyle="1" w:styleId="122">
    <w:name w:val="et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kern w:val="0"/>
      <w:sz w:val="18"/>
      <w:szCs w:val="18"/>
    </w:rPr>
  </w:style>
  <w:style w:type="paragraph" w:customStyle="1" w:styleId="123">
    <w:name w:val="et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kern w:val="0"/>
      <w:sz w:val="18"/>
      <w:szCs w:val="18"/>
    </w:rPr>
  </w:style>
  <w:style w:type="paragraph" w:customStyle="1" w:styleId="124">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仿宋_GB2312" w:hAnsi="宋体" w:eastAsia="仿宋_GB2312" w:cs="宋体"/>
      <w:kern w:val="0"/>
      <w:sz w:val="18"/>
      <w:szCs w:val="18"/>
    </w:rPr>
  </w:style>
  <w:style w:type="paragraph" w:customStyle="1" w:styleId="125">
    <w:name w:val="et7"/>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left"/>
    </w:pPr>
    <w:rPr>
      <w:rFonts w:ascii="宋体" w:hAnsi="宋体" w:cs="宋体"/>
      <w:kern w:val="0"/>
      <w:sz w:val="24"/>
    </w:rPr>
  </w:style>
  <w:style w:type="paragraph" w:customStyle="1" w:styleId="126">
    <w:name w:val="et8"/>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left"/>
    </w:pPr>
    <w:rPr>
      <w:rFonts w:ascii="宋体" w:hAnsi="宋体" w:cs="宋体"/>
      <w:kern w:val="0"/>
      <w:sz w:val="24"/>
    </w:rPr>
  </w:style>
  <w:style w:type="paragraph" w:customStyle="1" w:styleId="127">
    <w:name w:val="WPSOffice手动目录 1"/>
    <w:qFormat/>
    <w:uiPriority w:val="0"/>
    <w:pPr>
      <w:ind w:leftChars="0"/>
    </w:pPr>
    <w:rPr>
      <w:rFonts w:ascii="Times New Roman" w:hAnsi="Times New Roman" w:eastAsia="宋体" w:cs="Times New Roman"/>
      <w:sz w:val="20"/>
      <w:szCs w:val="20"/>
    </w:rPr>
  </w:style>
  <w:style w:type="paragraph" w:customStyle="1" w:styleId="128">
    <w:name w:val="样式10"/>
    <w:basedOn w:val="80"/>
    <w:next w:val="15"/>
    <w:qFormat/>
    <w:uiPriority w:val="0"/>
    <w:pPr>
      <w:widowControl/>
    </w:pPr>
    <w:rPr>
      <w:rFonts w:eastAsia="仿宋_GB2312"/>
      <w:szCs w:val="21"/>
      <w:lang w:val="zh-CN" w:bidi="ar"/>
    </w:rPr>
  </w:style>
  <w:style w:type="character" w:customStyle="1" w:styleId="129">
    <w:name w:val="font112"/>
    <w:basedOn w:val="31"/>
    <w:qFormat/>
    <w:uiPriority w:val="0"/>
    <w:rPr>
      <w:rFonts w:hint="default" w:ascii="Times New Roman" w:hAnsi="Times New Roman" w:cs="Times New Roman"/>
      <w:color w:val="000000"/>
      <w:sz w:val="24"/>
      <w:szCs w:val="24"/>
      <w:u w:val="none"/>
    </w:rPr>
  </w:style>
  <w:style w:type="character" w:customStyle="1" w:styleId="130">
    <w:name w:val="font121"/>
    <w:basedOn w:val="31"/>
    <w:qFormat/>
    <w:uiPriority w:val="0"/>
    <w:rPr>
      <w:rFonts w:hint="default" w:ascii="Times New Roman" w:hAnsi="Times New Roman" w:cs="Times New Roman"/>
      <w:color w:val="000000"/>
      <w:sz w:val="24"/>
      <w:szCs w:val="24"/>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1.png"/><Relationship Id="rId24" Type="http://schemas.openxmlformats.org/officeDocument/2006/relationships/image" Target="media/image10.wmf"/><Relationship Id="rId23" Type="http://schemas.openxmlformats.org/officeDocument/2006/relationships/oleObject" Target="embeddings/oleObject1.bin"/><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user/C:\Users\Administrator\AppData\Roaming\kingsoft\office6\templates\wps\zh_CN\&#21644;&#26519;&#26684;&#23572;&#21439;2025&#24180;&#22478;&#20065;&#24314;&#35774;&#29992;&#22320;&#22686;&#20943;&#25346;&#38057;&#30427;&#20048;&#38215;&#39033;&#30446;&#21306;&#23454;&#26045;&#26041;&#26696;.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和林格尔县2025年城乡建设用地增减挂钩盛乐镇项目区实施方案.dot</Template>
  <Pages>55</Pages>
  <Words>11398</Words>
  <Characters>12966</Characters>
  <Lines>246</Lines>
  <Paragraphs>69</Paragraphs>
  <TotalTime>0</TotalTime>
  <ScaleCrop>false</ScaleCrop>
  <LinksUpToDate>false</LinksUpToDate>
  <CharactersWithSpaces>13158</CharactersWithSpaces>
  <Application>WPS Office_11.8.2.10183_F1E327BC-269C-435d-A152-05C5408002CA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2025-03-29T10:17:00Z</dcterms:created>
  <dc:creator>王志军</dc:creator>
  <cp:lastModifiedBy>张茜</cp:lastModifiedBy>
  <dcterms:modified xsi:type="dcterms:W3CDTF">2025-07-01T18:29:59Z</dcterms:modified>
  <dc:title>城镇建设用地增加与农村建设用地减少相挂钩试点</dc:title>
  <cp:revision>301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y fmtid="{D5CDD505-2E9C-101B-9397-08002B2CF9AE}" pid="3" name="ICV">
    <vt:lpwstr>9F8AF25E25C04873BB49B4987F086A1C_13</vt:lpwstr>
  </property>
  <property fmtid="{D5CDD505-2E9C-101B-9397-08002B2CF9AE}" pid="4" name="KSOTemplateDocerSaveRecord">
    <vt:lpwstr>eyJoZGlkIjoiYmIyYTEzMThkNDM5YjRlOTljMmZjYTBmMTkzNjViNmYiLCJ1c2VySWQiOiIzNDk5Njk4MjIifQ==</vt:lpwstr>
  </property>
</Properties>
</file>